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FE9A674" w:rsidR="00E90E49" w:rsidRPr="00BD51BB" w:rsidRDefault="00E90E49" w:rsidP="0067726E">
      <w:pPr>
        <w:pStyle w:val="3GPPHeader"/>
        <w:rPr>
          <w:sz w:val="32"/>
          <w:szCs w:val="32"/>
          <w:highlight w:val="yellow"/>
        </w:rPr>
      </w:pPr>
      <w:r w:rsidRPr="00BD51BB">
        <w:t>3GPP TSG-RAN WG</w:t>
      </w:r>
      <w:r w:rsidR="008F1C4E" w:rsidRPr="00BD51BB">
        <w:t>1</w:t>
      </w:r>
      <w:r w:rsidRPr="00BD51BB">
        <w:t xml:space="preserve"> </w:t>
      </w:r>
      <w:r w:rsidR="008F1C4E" w:rsidRPr="00BD51BB">
        <w:t xml:space="preserve">Meeting </w:t>
      </w:r>
      <w:r w:rsidRPr="00BD51BB">
        <w:t>#</w:t>
      </w:r>
      <w:r w:rsidR="00A611BC" w:rsidRPr="00BD51BB">
        <w:t>1</w:t>
      </w:r>
      <w:r w:rsidR="001515A2" w:rsidRPr="00BD51BB">
        <w:t>21</w:t>
      </w:r>
      <w:r w:rsidRPr="00BD51BB">
        <w:tab/>
      </w:r>
      <w:r w:rsidR="00763ED1" w:rsidRPr="00763ED1">
        <w:rPr>
          <w:sz w:val="32"/>
          <w:szCs w:val="32"/>
        </w:rPr>
        <w:t>R1-2504610</w:t>
      </w:r>
    </w:p>
    <w:p w14:paraId="0CE7B7E6" w14:textId="686D4063" w:rsidR="00E90E49" w:rsidRPr="00BD51BB" w:rsidRDefault="001C4CD9" w:rsidP="0067726E">
      <w:pPr>
        <w:pStyle w:val="3GPPHeader"/>
      </w:pPr>
      <w:r w:rsidRPr="00BD51BB">
        <w:t>St. Julian’s, Malta, May 19</w:t>
      </w:r>
      <w:r w:rsidRPr="00BD51BB">
        <w:rPr>
          <w:vertAlign w:val="superscript"/>
        </w:rPr>
        <w:t>th</w:t>
      </w:r>
      <w:r w:rsidRPr="00BD51BB">
        <w:t xml:space="preserve"> – 23</w:t>
      </w:r>
      <w:r w:rsidRPr="00BD51BB">
        <w:rPr>
          <w:vertAlign w:val="superscript"/>
        </w:rPr>
        <w:t>rd</w:t>
      </w:r>
      <w:r w:rsidRPr="00BD51BB">
        <w:t xml:space="preserve"> 2025</w:t>
      </w:r>
    </w:p>
    <w:p w14:paraId="3086AC07" w14:textId="77777777" w:rsidR="00E90E49" w:rsidRPr="00BD51BB" w:rsidRDefault="00E90E49" w:rsidP="0067726E">
      <w:pPr>
        <w:pStyle w:val="3GPPHeader"/>
      </w:pPr>
    </w:p>
    <w:p w14:paraId="3982483C" w14:textId="53511F6D" w:rsidR="00E90E49" w:rsidRPr="00BD51BB" w:rsidRDefault="00E90E49" w:rsidP="0067726E">
      <w:pPr>
        <w:pStyle w:val="3GPPHeader"/>
      </w:pPr>
      <w:r w:rsidRPr="00BD51BB">
        <w:t>Agenda Item:</w:t>
      </w:r>
      <w:r w:rsidRPr="00BD51BB">
        <w:tab/>
      </w:r>
      <w:r w:rsidR="001C4CD9" w:rsidRPr="00BD51BB">
        <w:t>9.3.2</w:t>
      </w:r>
    </w:p>
    <w:p w14:paraId="5619E868" w14:textId="77777777" w:rsidR="00E90E49" w:rsidRPr="00BD51BB" w:rsidRDefault="003D3C45" w:rsidP="0067726E">
      <w:pPr>
        <w:pStyle w:val="3GPPHeader"/>
      </w:pPr>
      <w:r w:rsidRPr="00BD51BB">
        <w:t>Source:</w:t>
      </w:r>
      <w:r w:rsidR="00E90E49" w:rsidRPr="00BD51BB">
        <w:tab/>
      </w:r>
      <w:r w:rsidR="00F64C2B" w:rsidRPr="00BD51BB">
        <w:t>Ericsson</w:t>
      </w:r>
    </w:p>
    <w:p w14:paraId="3AF5C9FA" w14:textId="373AE971" w:rsidR="00E90E49" w:rsidRPr="00BD51BB" w:rsidRDefault="003D3C45" w:rsidP="0067726E">
      <w:pPr>
        <w:pStyle w:val="3GPPHeader"/>
      </w:pPr>
      <w:r w:rsidRPr="00BD51BB">
        <w:t>Title:</w:t>
      </w:r>
      <w:r w:rsidR="00E90E49" w:rsidRPr="00BD51BB">
        <w:tab/>
      </w:r>
      <w:r w:rsidR="001C4CD9" w:rsidRPr="00BD51BB">
        <w:t>SBFD random access operation</w:t>
      </w:r>
    </w:p>
    <w:p w14:paraId="025260C1" w14:textId="77777777" w:rsidR="00E90E49" w:rsidRPr="00BD51BB" w:rsidRDefault="00E90E49" w:rsidP="0067726E">
      <w:pPr>
        <w:pStyle w:val="3GPPHeader"/>
      </w:pPr>
      <w:r w:rsidRPr="00BD51BB">
        <w:t>Document for:</w:t>
      </w:r>
      <w:r w:rsidRPr="00BD51BB">
        <w:tab/>
        <w:t>Discussion, Decision</w:t>
      </w:r>
    </w:p>
    <w:p w14:paraId="2D5672ED" w14:textId="77777777" w:rsidR="00E90E49" w:rsidRPr="00BD51BB" w:rsidRDefault="00E90E49" w:rsidP="0067726E"/>
    <w:p w14:paraId="6883CB62" w14:textId="33436E6E" w:rsidR="00E90E49" w:rsidRPr="00BD51BB" w:rsidRDefault="00E90E49" w:rsidP="00AC22FB">
      <w:pPr>
        <w:pStyle w:val="Heading1"/>
        <w:rPr>
          <w:lang w:val="en-US"/>
        </w:rPr>
      </w:pPr>
      <w:r w:rsidRPr="00BD51BB">
        <w:rPr>
          <w:lang w:val="en-US"/>
        </w:rPr>
        <w:t>Introduction</w:t>
      </w:r>
    </w:p>
    <w:p w14:paraId="3F01E1A4" w14:textId="00F2AEE7" w:rsidR="00D672F0" w:rsidRPr="00E97B64" w:rsidRDefault="00D672F0" w:rsidP="00D672F0">
      <w:pPr>
        <w:pStyle w:val="BodyText"/>
      </w:pPr>
      <w:bookmarkStart w:id="0" w:name="_Hlk174095268"/>
      <w:r w:rsidRPr="00E97B64">
        <w:t xml:space="preserve">As a part of the WI on Duplex Evolution, RAN1 </w:t>
      </w:r>
      <w:r>
        <w:t>was</w:t>
      </w:r>
      <w:r w:rsidRPr="00E97B64">
        <w:t xml:space="preserve"> commissioned to specify random access in SBFD symbols </w:t>
      </w:r>
      <w:r w:rsidRPr="00E97B64">
        <w:fldChar w:fldCharType="begin"/>
      </w:r>
      <w:r w:rsidRPr="00E97B64">
        <w:instrText xml:space="preserve"> REF _Ref174095881 \r \h </w:instrText>
      </w:r>
      <w:r w:rsidRPr="00E97B64">
        <w:fldChar w:fldCharType="separate"/>
      </w:r>
      <w:r w:rsidR="009A067F">
        <w:t>[1]</w:t>
      </w:r>
      <w:r w:rsidRPr="00E97B64">
        <w:fldChar w:fldCharType="end"/>
      </w:r>
      <w:r w:rsidRPr="00E97B64">
        <w:t>.</w:t>
      </w:r>
    </w:p>
    <w:tbl>
      <w:tblPr>
        <w:tblStyle w:val="TableGrid"/>
        <w:tblW w:w="0" w:type="auto"/>
        <w:tblLook w:val="04A0" w:firstRow="1" w:lastRow="0" w:firstColumn="1" w:lastColumn="0" w:noHBand="0" w:noVBand="1"/>
      </w:tblPr>
      <w:tblGrid>
        <w:gridCol w:w="9629"/>
      </w:tblGrid>
      <w:tr w:rsidR="00D672F0" w:rsidRPr="009C010C" w14:paraId="418B3042" w14:textId="77777777" w:rsidTr="00AC4690">
        <w:tc>
          <w:tcPr>
            <w:tcW w:w="9855" w:type="dxa"/>
          </w:tcPr>
          <w:p w14:paraId="463A3189" w14:textId="77777777" w:rsidR="00D672F0" w:rsidRPr="00E97B64" w:rsidRDefault="00D672F0" w:rsidP="00D672F0">
            <w:pPr>
              <w:numPr>
                <w:ilvl w:val="0"/>
                <w:numId w:val="32"/>
              </w:numPr>
              <w:tabs>
                <w:tab w:val="left" w:pos="1440"/>
              </w:tabs>
              <w:overflowPunct w:val="0"/>
              <w:autoSpaceDE w:val="0"/>
              <w:autoSpaceDN w:val="0"/>
              <w:adjustRightInd w:val="0"/>
              <w:spacing w:after="180" w:line="240" w:lineRule="auto"/>
              <w:jc w:val="left"/>
              <w:textAlignment w:val="baseline"/>
              <w:rPr>
                <w:rFonts w:ascii="Times New Roman" w:hAnsi="Times New Roman" w:cs="Times New Roman"/>
              </w:rPr>
            </w:pPr>
            <w:r w:rsidRPr="00E97B64">
              <w:rPr>
                <w:rFonts w:ascii="Times New Roman" w:hAnsi="Times New Roman" w:cs="Times New Roman"/>
                <w:sz w:val="20"/>
                <w:szCs w:val="18"/>
                <w:lang w:eastAsia="zh-CN"/>
              </w:rPr>
              <w:t>Specify SBFD operation to support random access in SBFD symbols by UEs in RRC_CONNECTED mode and RRC_IDLE/INACTIVE mode [RAN1, RAN2]</w:t>
            </w:r>
          </w:p>
        </w:tc>
      </w:tr>
    </w:tbl>
    <w:p w14:paraId="5D954BBE" w14:textId="77777777" w:rsidR="002A2B6F" w:rsidRDefault="002A2B6F" w:rsidP="0067726E">
      <w:pPr>
        <w:pStyle w:val="BodyText"/>
      </w:pPr>
    </w:p>
    <w:p w14:paraId="231E64EA" w14:textId="7666B75C" w:rsidR="00477768" w:rsidRPr="00BD51BB" w:rsidRDefault="00D672F0" w:rsidP="0067726E">
      <w:pPr>
        <w:pStyle w:val="BodyText"/>
      </w:pPr>
      <w:r w:rsidRPr="00E97B64">
        <w:t>Below, we present our detailed views on SBFD random access operation.</w:t>
      </w:r>
      <w:bookmarkEnd w:id="0"/>
    </w:p>
    <w:p w14:paraId="60123794" w14:textId="6825F9D3" w:rsidR="004000E8" w:rsidRPr="00BD51BB" w:rsidRDefault="004000E8" w:rsidP="00CE0424">
      <w:pPr>
        <w:pStyle w:val="Heading1"/>
        <w:rPr>
          <w:lang w:val="en-US"/>
        </w:rPr>
      </w:pPr>
      <w:bookmarkStart w:id="1" w:name="_Ref178064866"/>
      <w:r w:rsidRPr="00BD51BB">
        <w:rPr>
          <w:lang w:val="en-US"/>
        </w:rPr>
        <w:t>Discussion</w:t>
      </w:r>
      <w:bookmarkEnd w:id="1"/>
    </w:p>
    <w:p w14:paraId="5F84EE24" w14:textId="169AF1B8" w:rsidR="009E29D3" w:rsidRPr="00BD51BB" w:rsidRDefault="00B8752F" w:rsidP="00B8752F">
      <w:pPr>
        <w:pStyle w:val="Heading2"/>
        <w:rPr>
          <w:lang w:val="en-US"/>
        </w:rPr>
      </w:pPr>
      <w:r w:rsidRPr="00BD51BB">
        <w:rPr>
          <w:lang w:val="en-US"/>
        </w:rPr>
        <w:t>RACH resource allocation</w:t>
      </w:r>
    </w:p>
    <w:p w14:paraId="26713E9B" w14:textId="7DBFA868" w:rsidR="00BD51BB" w:rsidRPr="00BD51BB" w:rsidRDefault="00BD51BB" w:rsidP="00BD51BB">
      <w:pPr>
        <w:rPr>
          <w:lang w:eastAsia="ja-JP"/>
        </w:rPr>
      </w:pPr>
      <w:r w:rsidRPr="00BD51BB">
        <w:rPr>
          <w:lang w:eastAsia="ja-JP"/>
        </w:rPr>
        <w:t xml:space="preserve">During RAN1 #120-bis, it was agreed that for CBRA, if an SBFD-aware UE transmits Msg1 in legacy-RO, the UE follows the legacy behavior during the </w:t>
      </w:r>
      <w:proofErr w:type="gramStart"/>
      <w:r w:rsidRPr="00BD51BB">
        <w:rPr>
          <w:lang w:eastAsia="ja-JP"/>
        </w:rPr>
        <w:t>random access</w:t>
      </w:r>
      <w:proofErr w:type="gramEnd"/>
      <w:r w:rsidRPr="00BD51BB">
        <w:rPr>
          <w:lang w:eastAsia="ja-JP"/>
        </w:rPr>
        <w:t xml:space="preserve"> procedure </w:t>
      </w:r>
      <w:r w:rsidR="00B27412">
        <w:rPr>
          <w:highlight w:val="yellow"/>
          <w:lang w:eastAsia="ja-JP"/>
        </w:rPr>
        <w:fldChar w:fldCharType="begin"/>
      </w:r>
      <w:r w:rsidR="00B27412">
        <w:rPr>
          <w:lang w:eastAsia="ja-JP"/>
        </w:rPr>
        <w:instrText xml:space="preserve"> REF _Ref194086571 \n \h </w:instrText>
      </w:r>
      <w:r w:rsidR="00B27412">
        <w:rPr>
          <w:highlight w:val="yellow"/>
          <w:lang w:eastAsia="ja-JP"/>
        </w:rPr>
      </w:r>
      <w:r w:rsidR="00B27412">
        <w:rPr>
          <w:highlight w:val="yellow"/>
          <w:lang w:eastAsia="ja-JP"/>
        </w:rPr>
        <w:fldChar w:fldCharType="separate"/>
      </w:r>
      <w:r w:rsidR="009A067F">
        <w:rPr>
          <w:lang w:eastAsia="ja-JP"/>
        </w:rPr>
        <w:t>[2]</w:t>
      </w:r>
      <w:r w:rsidR="00B27412">
        <w:rPr>
          <w:highlight w:val="yellow"/>
          <w:lang w:eastAsia="ja-JP"/>
        </w:rPr>
        <w:fldChar w:fldCharType="end"/>
      </w:r>
      <w:r w:rsidRPr="00BD51BB">
        <w:rPr>
          <w:lang w:eastAsia="ja-JP"/>
        </w:rPr>
        <w:t>:</w:t>
      </w:r>
    </w:p>
    <w:tbl>
      <w:tblPr>
        <w:tblStyle w:val="TableGrid"/>
        <w:tblW w:w="0" w:type="auto"/>
        <w:tblLook w:val="04A0" w:firstRow="1" w:lastRow="0" w:firstColumn="1" w:lastColumn="0" w:noHBand="0" w:noVBand="1"/>
      </w:tblPr>
      <w:tblGrid>
        <w:gridCol w:w="9629"/>
      </w:tblGrid>
      <w:tr w:rsidR="009E29D3" w:rsidRPr="00BD51BB" w14:paraId="7F9C07BA" w14:textId="77777777" w:rsidTr="009E29D3">
        <w:tc>
          <w:tcPr>
            <w:tcW w:w="9629" w:type="dxa"/>
          </w:tcPr>
          <w:p w14:paraId="782BEE0B" w14:textId="77777777" w:rsidR="009E29D3" w:rsidRPr="00BD51BB" w:rsidRDefault="009E29D3" w:rsidP="0067726E">
            <w:pPr>
              <w:rPr>
                <w:rFonts w:ascii="Times New Roman" w:hAnsi="Times New Roman" w:cs="Times New Roman"/>
                <w:b/>
                <w:bCs/>
                <w:sz w:val="20"/>
                <w:szCs w:val="20"/>
              </w:rPr>
            </w:pPr>
            <w:r w:rsidRPr="00BD51BB">
              <w:rPr>
                <w:rFonts w:ascii="Times New Roman" w:hAnsi="Times New Roman" w:cs="Times New Roman"/>
                <w:b/>
                <w:bCs/>
                <w:sz w:val="20"/>
                <w:szCs w:val="20"/>
                <w:highlight w:val="green"/>
              </w:rPr>
              <w:t>Agreement</w:t>
            </w:r>
          </w:p>
          <w:p w14:paraId="7FA597C9" w14:textId="77777777" w:rsidR="009E29D3" w:rsidRPr="00BD51BB" w:rsidRDefault="009E29D3" w:rsidP="0067726E">
            <w:pPr>
              <w:rPr>
                <w:rFonts w:ascii="Times New Roman" w:hAnsi="Times New Roman" w:cs="Times New Roman"/>
                <w:sz w:val="20"/>
                <w:szCs w:val="20"/>
              </w:rPr>
            </w:pPr>
            <w:r w:rsidRPr="00BD51BB">
              <w:rPr>
                <w:rFonts w:ascii="Times New Roman" w:hAnsi="Times New Roman" w:cs="Times New Roman"/>
                <w:sz w:val="20"/>
                <w:szCs w:val="20"/>
              </w:rPr>
              <w:t xml:space="preserve">For CBRA, if a SBFD-aware UE transmits Msg1 in legacy-RO, the UE follows the legacy behavior during the </w:t>
            </w:r>
            <w:proofErr w:type="gramStart"/>
            <w:r w:rsidRPr="00BD51BB">
              <w:rPr>
                <w:rFonts w:ascii="Times New Roman" w:hAnsi="Times New Roman" w:cs="Times New Roman"/>
                <w:sz w:val="20"/>
                <w:szCs w:val="20"/>
              </w:rPr>
              <w:t>random access</w:t>
            </w:r>
            <w:proofErr w:type="gramEnd"/>
            <w:r w:rsidRPr="00BD51BB">
              <w:rPr>
                <w:rFonts w:ascii="Times New Roman" w:hAnsi="Times New Roman" w:cs="Times New Roman"/>
                <w:sz w:val="20"/>
                <w:szCs w:val="20"/>
              </w:rPr>
              <w:t xml:space="preserve"> procedure.</w:t>
            </w:r>
          </w:p>
          <w:p w14:paraId="701563A1" w14:textId="17CA03FF" w:rsidR="009E29D3" w:rsidRPr="00BD51BB" w:rsidRDefault="009E29D3" w:rsidP="00474E7A">
            <w:pPr>
              <w:pStyle w:val="ListParagraph"/>
              <w:numPr>
                <w:ilvl w:val="0"/>
                <w:numId w:val="25"/>
              </w:numPr>
              <w:spacing w:after="240"/>
              <w:rPr>
                <w:lang w:val="en-US"/>
              </w:rPr>
            </w:pPr>
            <w:r w:rsidRPr="00BD51BB">
              <w:rPr>
                <w:rFonts w:ascii="Times New Roman" w:hAnsi="Times New Roman" w:cs="Times New Roman"/>
                <w:sz w:val="20"/>
                <w:lang w:val="en-US"/>
              </w:rPr>
              <w:t>FFS: Whether specification change is necessary</w:t>
            </w:r>
          </w:p>
        </w:tc>
      </w:tr>
    </w:tbl>
    <w:p w14:paraId="5C194188" w14:textId="77777777" w:rsidR="009E29D3" w:rsidRPr="00BD51BB" w:rsidRDefault="009E29D3" w:rsidP="0067726E">
      <w:pPr>
        <w:rPr>
          <w:lang w:eastAsia="ja-JP"/>
        </w:rPr>
      </w:pPr>
    </w:p>
    <w:p w14:paraId="17B4B9B2" w14:textId="202EFE05" w:rsidR="008A178E" w:rsidRPr="00BD51BB" w:rsidRDefault="00BD51BB" w:rsidP="0067726E">
      <w:pPr>
        <w:rPr>
          <w:lang w:eastAsia="ja-JP"/>
        </w:rPr>
      </w:pPr>
      <w:r w:rsidRPr="00BD51BB">
        <w:rPr>
          <w:lang w:eastAsia="ja-JP"/>
        </w:rPr>
        <w:t xml:space="preserve">However, it was </w:t>
      </w:r>
      <w:r>
        <w:rPr>
          <w:lang w:eastAsia="ja-JP"/>
        </w:rPr>
        <w:t>left for FFS</w:t>
      </w:r>
      <w:r w:rsidRPr="00BD51BB">
        <w:rPr>
          <w:lang w:eastAsia="ja-JP"/>
        </w:rPr>
        <w:t xml:space="preserve"> whether the agreement needed to be captured</w:t>
      </w:r>
      <w:r>
        <w:rPr>
          <w:lang w:eastAsia="ja-JP"/>
        </w:rPr>
        <w:t xml:space="preserve"> in the spec. </w:t>
      </w:r>
      <w:r w:rsidR="005D0BA1">
        <w:rPr>
          <w:lang w:eastAsia="ja-JP"/>
        </w:rPr>
        <w:t xml:space="preserve">On the one hand, </w:t>
      </w:r>
      <w:r>
        <w:rPr>
          <w:lang w:eastAsia="ja-JP"/>
        </w:rPr>
        <w:t xml:space="preserve">not capturing it in the spec will have no consequence for the UE since DL is anyway not affected by the agreement. </w:t>
      </w:r>
      <w:r w:rsidR="005D0BA1">
        <w:rPr>
          <w:lang w:eastAsia="ja-JP"/>
        </w:rPr>
        <w:t>For example</w:t>
      </w:r>
      <w:r>
        <w:rPr>
          <w:lang w:eastAsia="ja-JP"/>
        </w:rPr>
        <w:t xml:space="preserve">, there will be no additional search spaces </w:t>
      </w:r>
      <w:r w:rsidR="005D0BA1">
        <w:rPr>
          <w:lang w:eastAsia="ja-JP"/>
        </w:rPr>
        <w:t xml:space="preserve">that </w:t>
      </w:r>
      <w:r>
        <w:rPr>
          <w:lang w:eastAsia="ja-JP"/>
        </w:rPr>
        <w:t>the UE needs to cover.</w:t>
      </w:r>
      <w:r w:rsidR="005D0BA1">
        <w:rPr>
          <w:lang w:eastAsia="ja-JP"/>
        </w:rPr>
        <w:t xml:space="preserve"> On the other hand, it could have consequences for RAN2 discussions on early indication which are still ongoing. Moreover, any capturing of the above agreement would anyway be in a RAN2 spec. For this reason, we think RAN2 can be trusted with deciding on the spec impact of the above agreement.</w:t>
      </w:r>
    </w:p>
    <w:p w14:paraId="04CC71A5" w14:textId="45D3B938" w:rsidR="00B8752F" w:rsidRDefault="008A178E" w:rsidP="0067726E">
      <w:pPr>
        <w:pStyle w:val="Proposal"/>
      </w:pPr>
      <w:bookmarkStart w:id="2" w:name="_Toc197714069"/>
      <w:r w:rsidRPr="00BD51BB">
        <w:t xml:space="preserve">Leave to RAN2 to decide the spec impact on </w:t>
      </w:r>
      <w:r w:rsidR="005D0BA1">
        <w:t>SBFD-aware UEs transmitting Msg1 during CBRA in a legacy RO.</w:t>
      </w:r>
      <w:bookmarkEnd w:id="2"/>
    </w:p>
    <w:p w14:paraId="408BFDDF" w14:textId="4B3ECF83" w:rsidR="005D0BA1" w:rsidRPr="005D0BA1" w:rsidRDefault="005D0BA1" w:rsidP="005D0BA1">
      <w:r w:rsidRPr="005D0BA1">
        <w:t>Another FFS</w:t>
      </w:r>
      <w:r>
        <w:t xml:space="preserve">, from RAN1 #118bis and RAN1 #120bis relates to the definition of usable PRBs for a Msg3 PUSCH transmission, </w:t>
      </w:r>
      <w:r w:rsidR="00EB1C6A">
        <w:fldChar w:fldCharType="begin"/>
      </w:r>
      <w:r w:rsidR="00EB1C6A">
        <w:instrText xml:space="preserve"> REF _Ref194086653 \n \h </w:instrText>
      </w:r>
      <w:r w:rsidR="00EB1C6A">
        <w:fldChar w:fldCharType="separate"/>
      </w:r>
      <w:r w:rsidR="009A067F">
        <w:t>[3]</w:t>
      </w:r>
      <w:r w:rsidR="00EB1C6A">
        <w:fldChar w:fldCharType="end"/>
      </w:r>
      <w:r w:rsidR="00B27412">
        <w:rPr>
          <w:highlight w:val="yellow"/>
        </w:rPr>
        <w:fldChar w:fldCharType="begin"/>
      </w:r>
      <w:r w:rsidR="00B27412">
        <w:instrText xml:space="preserve"> REF _Ref194086571 \n \h </w:instrText>
      </w:r>
      <w:r w:rsidR="00B27412">
        <w:rPr>
          <w:highlight w:val="yellow"/>
        </w:rPr>
      </w:r>
      <w:r w:rsidR="00B27412">
        <w:rPr>
          <w:highlight w:val="yellow"/>
        </w:rPr>
        <w:fldChar w:fldCharType="separate"/>
      </w:r>
      <w:r w:rsidR="009A067F">
        <w:t>[2]</w:t>
      </w:r>
      <w:r w:rsidR="00B27412">
        <w:rPr>
          <w:highlight w:val="yellow"/>
        </w:rPr>
        <w:fldChar w:fldCharType="end"/>
      </w:r>
      <w:r>
        <w:t>:</w:t>
      </w:r>
    </w:p>
    <w:tbl>
      <w:tblPr>
        <w:tblStyle w:val="TableGrid"/>
        <w:tblW w:w="0" w:type="auto"/>
        <w:tblLook w:val="04A0" w:firstRow="1" w:lastRow="0" w:firstColumn="1" w:lastColumn="0" w:noHBand="0" w:noVBand="1"/>
      </w:tblPr>
      <w:tblGrid>
        <w:gridCol w:w="9629"/>
      </w:tblGrid>
      <w:tr w:rsidR="00B8752F" w:rsidRPr="00BD51BB" w14:paraId="40950569" w14:textId="77777777" w:rsidTr="00AC4690">
        <w:tc>
          <w:tcPr>
            <w:tcW w:w="9629" w:type="dxa"/>
          </w:tcPr>
          <w:p w14:paraId="611CD864" w14:textId="77777777" w:rsidR="00B8752F" w:rsidRPr="00BD51BB" w:rsidRDefault="00B8752F" w:rsidP="0067726E">
            <w:pPr>
              <w:rPr>
                <w:rFonts w:ascii="Times New Roman" w:hAnsi="Times New Roman" w:cs="Times New Roman"/>
                <w:b/>
                <w:bCs/>
                <w:sz w:val="20"/>
                <w:szCs w:val="20"/>
              </w:rPr>
            </w:pPr>
            <w:r w:rsidRPr="00BD51BB">
              <w:rPr>
                <w:rFonts w:ascii="Times New Roman" w:hAnsi="Times New Roman" w:cs="Times New Roman"/>
                <w:b/>
                <w:bCs/>
                <w:sz w:val="20"/>
                <w:szCs w:val="20"/>
                <w:highlight w:val="green"/>
              </w:rPr>
              <w:lastRenderedPageBreak/>
              <w:t>Agreement</w:t>
            </w:r>
          </w:p>
          <w:p w14:paraId="2AA65822" w14:textId="77777777" w:rsidR="00B8752F" w:rsidRPr="00BD51BB" w:rsidRDefault="00B8752F" w:rsidP="0067726E">
            <w:pPr>
              <w:rPr>
                <w:rFonts w:ascii="Times New Roman" w:hAnsi="Times New Roman" w:cs="Times New Roman"/>
                <w:sz w:val="20"/>
                <w:szCs w:val="20"/>
              </w:rPr>
            </w:pPr>
            <w:r w:rsidRPr="00BD51BB">
              <w:rPr>
                <w:rFonts w:ascii="Times New Roman" w:hAnsi="Times New Roman" w:cs="Times New Roman"/>
                <w:sz w:val="20"/>
                <w:szCs w:val="20"/>
              </w:rPr>
              <w:t xml:space="preserve">For SBFD aware UEs, for Msg3 PUSCH transmission </w:t>
            </w:r>
            <w:r w:rsidRPr="00BD51BB">
              <w:rPr>
                <w:rFonts w:ascii="Times New Roman" w:hAnsi="Times New Roman" w:cs="Times New Roman"/>
                <w:color w:val="FF0000"/>
                <w:sz w:val="20"/>
                <w:szCs w:val="20"/>
              </w:rPr>
              <w:t>in SBFD symbols</w:t>
            </w:r>
            <w:r w:rsidRPr="00BD51BB">
              <w:rPr>
                <w:rFonts w:ascii="Times New Roman" w:hAnsi="Times New Roman" w:cs="Times New Roman"/>
                <w:sz w:val="20"/>
                <w:szCs w:val="20"/>
              </w:rPr>
              <w:t>, reuse Table 8.3-1 in TS 38.213 for determination of the frequency offset for the 2</w:t>
            </w:r>
            <w:r w:rsidRPr="00BD51BB">
              <w:rPr>
                <w:rFonts w:ascii="Times New Roman" w:hAnsi="Times New Roman" w:cs="Times New Roman"/>
                <w:sz w:val="20"/>
                <w:szCs w:val="20"/>
                <w:vertAlign w:val="superscript"/>
              </w:rPr>
              <w:t>nd</w:t>
            </w:r>
            <w:r w:rsidRPr="00BD51BB">
              <w:rPr>
                <w:rFonts w:ascii="Times New Roman" w:hAnsi="Times New Roman" w:cs="Times New Roman"/>
                <w:sz w:val="20"/>
                <w:szCs w:val="20"/>
              </w:rPr>
              <w:t xml:space="preserve"> hop, with the update that the frequency offset for 2</w:t>
            </w:r>
            <w:r w:rsidRPr="00BD51BB">
              <w:rPr>
                <w:rFonts w:ascii="Times New Roman" w:hAnsi="Times New Roman" w:cs="Times New Roman"/>
                <w:sz w:val="20"/>
                <w:szCs w:val="20"/>
                <w:vertAlign w:val="superscript"/>
              </w:rPr>
              <w:t>nd</w:t>
            </w:r>
            <w:r w:rsidRPr="00BD51BB">
              <w:rPr>
                <w:rFonts w:ascii="Times New Roman" w:hAnsi="Times New Roman" w:cs="Times New Roman"/>
                <w:sz w:val="20"/>
                <w:szCs w:val="20"/>
              </w:rPr>
              <w:t xml:space="preserve"> hop is based on the size of UL usable PRBs.</w:t>
            </w:r>
          </w:p>
          <w:p w14:paraId="4A8FE818" w14:textId="77777777" w:rsidR="00B8752F" w:rsidRPr="00BD51BB" w:rsidRDefault="00B8752F" w:rsidP="0067726E">
            <w:pPr>
              <w:pStyle w:val="ListParagraph"/>
              <w:numPr>
                <w:ilvl w:val="0"/>
                <w:numId w:val="26"/>
              </w:numPr>
              <w:rPr>
                <w:rFonts w:ascii="Times New Roman" w:hAnsi="Times New Roman" w:cs="Times New Roman"/>
                <w:sz w:val="20"/>
                <w:lang w:val="en-US"/>
              </w:rPr>
            </w:pPr>
            <w:r w:rsidRPr="00BD51BB">
              <w:rPr>
                <w:rFonts w:ascii="Times New Roman" w:hAnsi="Times New Roman" w:cs="Times New Roman"/>
                <w:sz w:val="20"/>
                <w:lang w:val="en-US"/>
              </w:rPr>
              <w:t xml:space="preserve">FFS the case when the value of </w:t>
            </w:r>
            <m:oMath>
              <m:sSub>
                <m:sSubPr>
                  <m:ctrlPr>
                    <w:rPr>
                      <w:rFonts w:ascii="Cambria Math" w:hAnsi="Cambria Math" w:cs="Times New Roman"/>
                      <w:sz w:val="20"/>
                      <w:lang w:val="en-US"/>
                    </w:rPr>
                  </m:ctrlPr>
                </m:sSubPr>
                <m:e>
                  <m:r>
                    <m:rPr>
                      <m:sty m:val="p"/>
                    </m:rPr>
                    <w:rPr>
                      <w:rFonts w:ascii="Cambria Math" w:hAnsi="Cambria Math" w:cs="Times New Roman"/>
                      <w:sz w:val="20"/>
                      <w:lang w:val="en-US"/>
                    </w:rPr>
                    <m:t>N</m:t>
                  </m:r>
                </m:e>
                <m:sub>
                  <m:r>
                    <m:rPr>
                      <m:sty m:val="p"/>
                    </m:rPr>
                    <w:rPr>
                      <w:rFonts w:ascii="Cambria Math" w:hAnsi="Cambria Math" w:cs="Times New Roman"/>
                      <w:sz w:val="20"/>
                      <w:lang w:val="en-US"/>
                    </w:rPr>
                    <m:t>UL,hop</m:t>
                  </m:r>
                </m:sub>
              </m:sSub>
            </m:oMath>
            <w:r w:rsidRPr="00BD51BB">
              <w:rPr>
                <w:rFonts w:ascii="Times New Roman" w:hAnsi="Times New Roman" w:cs="Times New Roman"/>
                <w:iCs/>
                <w:sz w:val="20"/>
                <w:lang w:val="en-US"/>
              </w:rPr>
              <w:t>= 11</w:t>
            </w:r>
          </w:p>
          <w:p w14:paraId="0DC7AF19" w14:textId="77777777" w:rsidR="00B8752F" w:rsidRPr="00BD51BB" w:rsidRDefault="00B8752F" w:rsidP="00474E7A">
            <w:pPr>
              <w:pStyle w:val="ListParagraph"/>
              <w:numPr>
                <w:ilvl w:val="0"/>
                <w:numId w:val="26"/>
              </w:numPr>
              <w:spacing w:after="240"/>
              <w:rPr>
                <w:lang w:val="en-US"/>
              </w:rPr>
            </w:pPr>
            <w:r w:rsidRPr="00BD51BB">
              <w:rPr>
                <w:rFonts w:ascii="Times New Roman" w:hAnsi="Times New Roman" w:cs="Times New Roman"/>
                <w:sz w:val="20"/>
                <w:lang w:val="en-US"/>
              </w:rPr>
              <w:t>FFS the definition of UL usable PRBs for Msg3 PUSCH transmission</w:t>
            </w:r>
          </w:p>
        </w:tc>
      </w:tr>
    </w:tbl>
    <w:p w14:paraId="5BABF368" w14:textId="77777777" w:rsidR="00CF2B0D" w:rsidRPr="005D0BA1" w:rsidRDefault="00CF2B0D" w:rsidP="005D0BA1"/>
    <w:p w14:paraId="787BDFC2" w14:textId="2E0A2FB8" w:rsidR="005D0BA1" w:rsidRDefault="005D0BA1" w:rsidP="005D0BA1">
      <w:r w:rsidRPr="005D0BA1">
        <w:t xml:space="preserve">In our view, there is no </w:t>
      </w:r>
      <w:r w:rsidR="00F21556">
        <w:t xml:space="preserve">strong </w:t>
      </w:r>
      <w:r w:rsidRPr="005D0BA1">
        <w:t xml:space="preserve">reason to deviate from the general </w:t>
      </w:r>
      <w:r>
        <w:t xml:space="preserve">specification of UL usable PRBs as agreed in </w:t>
      </w:r>
      <w:r w:rsidR="00F21556">
        <w:t xml:space="preserve">RAN1 #118bis </w:t>
      </w:r>
      <w:r w:rsidR="00EB1C6A">
        <w:rPr>
          <w:highlight w:val="yellow"/>
        </w:rPr>
        <w:fldChar w:fldCharType="begin"/>
      </w:r>
      <w:r w:rsidR="00EB1C6A">
        <w:instrText xml:space="preserve"> REF _Ref194086653 \n \h </w:instrText>
      </w:r>
      <w:r w:rsidR="00EB1C6A">
        <w:rPr>
          <w:highlight w:val="yellow"/>
        </w:rPr>
      </w:r>
      <w:r w:rsidR="00EB1C6A">
        <w:rPr>
          <w:highlight w:val="yellow"/>
        </w:rPr>
        <w:fldChar w:fldCharType="separate"/>
      </w:r>
      <w:r w:rsidR="009A067F">
        <w:t>[3]</w:t>
      </w:r>
      <w:r w:rsidR="00EB1C6A">
        <w:rPr>
          <w:highlight w:val="yellow"/>
        </w:rPr>
        <w:fldChar w:fldCharType="end"/>
      </w:r>
      <w:r w:rsidR="00F21556">
        <w:t>:</w:t>
      </w:r>
    </w:p>
    <w:tbl>
      <w:tblPr>
        <w:tblStyle w:val="TableGrid"/>
        <w:tblW w:w="0" w:type="auto"/>
        <w:tblLook w:val="04A0" w:firstRow="1" w:lastRow="0" w:firstColumn="1" w:lastColumn="0" w:noHBand="0" w:noVBand="1"/>
      </w:tblPr>
      <w:tblGrid>
        <w:gridCol w:w="9629"/>
      </w:tblGrid>
      <w:tr w:rsidR="00F21556" w14:paraId="35A59478" w14:textId="77777777" w:rsidTr="00F21556">
        <w:tc>
          <w:tcPr>
            <w:tcW w:w="9629" w:type="dxa"/>
          </w:tcPr>
          <w:p w14:paraId="6C235772" w14:textId="77777777" w:rsidR="00F21556" w:rsidRPr="00F21556" w:rsidRDefault="00F21556" w:rsidP="00F21556">
            <w:pPr>
              <w:rPr>
                <w:rFonts w:ascii="Times New Roman" w:eastAsiaTheme="minorEastAsia" w:hAnsi="Times New Roman" w:cs="Times New Roman"/>
                <w:b/>
                <w:sz w:val="20"/>
                <w:szCs w:val="20"/>
                <w:lang w:eastAsia="zh-CN"/>
              </w:rPr>
            </w:pPr>
            <w:r w:rsidRPr="00F21556">
              <w:rPr>
                <w:rFonts w:ascii="Times New Roman" w:eastAsiaTheme="minorEastAsia" w:hAnsi="Times New Roman" w:cs="Times New Roman"/>
                <w:b/>
                <w:sz w:val="20"/>
                <w:szCs w:val="20"/>
                <w:highlight w:val="green"/>
                <w:lang w:eastAsia="zh-CN"/>
              </w:rPr>
              <w:t>Agreement</w:t>
            </w:r>
          </w:p>
          <w:p w14:paraId="22DEAF1F" w14:textId="77777777" w:rsidR="00F21556" w:rsidRPr="00F21556" w:rsidRDefault="00F21556" w:rsidP="00F21556">
            <w:pPr>
              <w:tabs>
                <w:tab w:val="left" w:pos="0"/>
              </w:tabs>
              <w:rPr>
                <w:rFonts w:ascii="Times New Roman" w:eastAsiaTheme="minorEastAsia" w:hAnsi="Times New Roman" w:cs="Times New Roman"/>
                <w:sz w:val="20"/>
                <w:szCs w:val="20"/>
                <w:lang w:eastAsia="zh-CN"/>
              </w:rPr>
            </w:pPr>
            <w:r w:rsidRPr="00F21556">
              <w:rPr>
                <w:rFonts w:ascii="Times New Roman" w:eastAsiaTheme="minorEastAsia" w:hAnsi="Times New Roman" w:cs="Times New Roman"/>
                <w:sz w:val="20"/>
                <w:szCs w:val="20"/>
                <w:lang w:eastAsia="zh-CN"/>
              </w:rPr>
              <w:t xml:space="preserve">If </w:t>
            </w:r>
            <w:r w:rsidRPr="00F21556">
              <w:rPr>
                <w:rFonts w:ascii="Times New Roman" w:eastAsia="Malgun Gothic" w:hAnsi="Times New Roman" w:cs="Times New Roman"/>
                <w:sz w:val="20"/>
                <w:szCs w:val="20"/>
                <w:lang w:eastAsia="zh-CN"/>
              </w:rPr>
              <w:t>UE-specific configuration on frequency locations of SBFD subbands</w:t>
            </w:r>
            <w:r w:rsidRPr="00F21556">
              <w:rPr>
                <w:rFonts w:ascii="Times New Roman" w:eastAsiaTheme="minorEastAsia" w:hAnsi="Times New Roman" w:cs="Times New Roman"/>
                <w:sz w:val="20"/>
                <w:szCs w:val="20"/>
                <w:lang w:eastAsia="zh-CN"/>
              </w:rPr>
              <w:t xml:space="preserve"> is not supported nor provided</w:t>
            </w:r>
            <w:r w:rsidRPr="00F21556">
              <w:rPr>
                <w:rFonts w:ascii="Times New Roman" w:eastAsia="Malgun Gothic" w:hAnsi="Times New Roman" w:cs="Times New Roman"/>
                <w:sz w:val="20"/>
                <w:szCs w:val="20"/>
                <w:lang w:eastAsia="zh-CN"/>
              </w:rPr>
              <w:t>,</w:t>
            </w:r>
            <w:r w:rsidRPr="00F21556">
              <w:rPr>
                <w:rFonts w:ascii="Times New Roman" w:eastAsiaTheme="minorEastAsia" w:hAnsi="Times New Roman" w:cs="Times New Roman"/>
                <w:sz w:val="20"/>
                <w:szCs w:val="20"/>
                <w:lang w:eastAsia="zh-CN"/>
              </w:rPr>
              <w:t xml:space="preserve"> support Option 1</w:t>
            </w:r>
            <w:r w:rsidRPr="00F21556">
              <w:rPr>
                <w:rFonts w:ascii="Times New Roman" w:eastAsia="Malgun Gothic" w:hAnsi="Times New Roman" w:cs="Times New Roman"/>
                <w:sz w:val="20"/>
                <w:szCs w:val="20"/>
                <w:lang w:eastAsia="zh-CN"/>
              </w:rPr>
              <w:t xml:space="preserve"> </w:t>
            </w:r>
            <w:r w:rsidRPr="00F21556">
              <w:rPr>
                <w:rFonts w:ascii="Times New Roman" w:eastAsiaTheme="minorEastAsia" w:hAnsi="Times New Roman" w:cs="Times New Roman"/>
                <w:sz w:val="20"/>
                <w:szCs w:val="20"/>
                <w:lang w:eastAsia="zh-CN"/>
              </w:rPr>
              <w:t>f</w:t>
            </w:r>
            <w:r w:rsidRPr="00F21556">
              <w:rPr>
                <w:rFonts w:ascii="Times New Roman" w:eastAsia="Malgun Gothic" w:hAnsi="Times New Roman" w:cs="Times New Roman"/>
                <w:sz w:val="20"/>
                <w:szCs w:val="20"/>
                <w:lang w:eastAsia="zh-CN"/>
              </w:rPr>
              <w:t>or determining UL/DL usable PRBs</w:t>
            </w:r>
            <w:r w:rsidRPr="00F21556">
              <w:rPr>
                <w:rFonts w:ascii="Times New Roman" w:eastAsiaTheme="minorEastAsia" w:hAnsi="Times New Roman" w:cs="Times New Roman"/>
                <w:sz w:val="20"/>
                <w:szCs w:val="20"/>
                <w:lang w:eastAsia="zh-CN"/>
              </w:rPr>
              <w:t xml:space="preserve">. </w:t>
            </w:r>
          </w:p>
          <w:p w14:paraId="283C8ACD" w14:textId="6DCB0F90" w:rsidR="00F21556" w:rsidRPr="00F21556" w:rsidRDefault="00F21556" w:rsidP="00F21556">
            <w:pPr>
              <w:numPr>
                <w:ilvl w:val="0"/>
                <w:numId w:val="31"/>
              </w:numPr>
              <w:spacing w:line="240" w:lineRule="auto"/>
              <w:jc w:val="left"/>
              <w:rPr>
                <w:rFonts w:eastAsia="Malgun Gothic" w:cs="Times"/>
                <w:lang w:eastAsia="zh-CN"/>
              </w:rPr>
            </w:pPr>
            <w:r w:rsidRPr="00F21556">
              <w:rPr>
                <w:rFonts w:ascii="Times New Roman" w:eastAsia="Malgun Gothic" w:hAnsi="Times New Roman" w:cs="Times New Roman"/>
                <w:sz w:val="20"/>
                <w:szCs w:val="20"/>
                <w:lang w:eastAsia="zh-CN"/>
              </w:rPr>
              <w:t xml:space="preserve">Option 1: For a UL BWP, </w:t>
            </w:r>
            <w:r w:rsidRPr="00F21556">
              <w:rPr>
                <w:rFonts w:ascii="Times New Roman" w:eastAsia="Malgun Gothic" w:hAnsi="Times New Roman" w:cs="Times New Roman"/>
                <w:sz w:val="20"/>
                <w:szCs w:val="20"/>
                <w:highlight w:val="yellow"/>
                <w:lang w:eastAsia="zh-CN"/>
              </w:rPr>
              <w:t>UL usable PRBs are determined as intersection between cell-specific UL subband and the UL BWP in SBFD symbols</w:t>
            </w:r>
            <w:r w:rsidRPr="00F21556">
              <w:rPr>
                <w:rFonts w:ascii="Times New Roman" w:eastAsia="Malgun Gothic" w:hAnsi="Times New Roman" w:cs="Times New Roman"/>
                <w:sz w:val="20"/>
                <w:szCs w:val="20"/>
                <w:lang w:eastAsia="zh-CN"/>
              </w:rPr>
              <w:t>. For a DL BWP, DL usable PRBs are determined as intersection between cell-specific DL subband(s) and the DL BWP in SBFD symbols.</w:t>
            </w:r>
          </w:p>
        </w:tc>
      </w:tr>
    </w:tbl>
    <w:p w14:paraId="51B2D2FE" w14:textId="77777777" w:rsidR="00F21556" w:rsidRDefault="00F21556" w:rsidP="005D0BA1"/>
    <w:p w14:paraId="66EA729A" w14:textId="79E85ABE" w:rsidR="00F21556" w:rsidRPr="005D0BA1" w:rsidRDefault="00F21556" w:rsidP="005D0BA1">
      <w:r>
        <w:t>Hence, we propose that definition to be adopted also for Msg3 PUSCH.</w:t>
      </w:r>
    </w:p>
    <w:p w14:paraId="2414A95F" w14:textId="32EA9210" w:rsidR="00B8752F" w:rsidRPr="00BD51BB" w:rsidRDefault="00F21556" w:rsidP="00CF2B0D">
      <w:pPr>
        <w:pStyle w:val="Proposal"/>
      </w:pPr>
      <w:bookmarkStart w:id="3" w:name="_Toc197714070"/>
      <w:r>
        <w:t xml:space="preserve">For Msg3 PUSCH </w:t>
      </w:r>
      <w:r w:rsidRPr="00F21556">
        <w:t>in SBFD symbols</w:t>
      </w:r>
      <w:r>
        <w:t>, t</w:t>
      </w:r>
      <w:r w:rsidRPr="00BD51BB">
        <w:t>he UL usable PRBs</w:t>
      </w:r>
      <w:r>
        <w:t xml:space="preserve"> are determined as the </w:t>
      </w:r>
      <w:r w:rsidRPr="00F21556">
        <w:t xml:space="preserve">intersection between </w:t>
      </w:r>
      <w:r>
        <w:t>the [</w:t>
      </w:r>
      <w:r w:rsidRPr="00F21556">
        <w:t>cell-specific</w:t>
      </w:r>
      <w:r>
        <w:t>]</w:t>
      </w:r>
      <w:r w:rsidRPr="00F21556">
        <w:t xml:space="preserve"> UL subband and the UL</w:t>
      </w:r>
      <w:r>
        <w:t xml:space="preserve"> active</w:t>
      </w:r>
      <w:r w:rsidRPr="00F21556">
        <w:t xml:space="preserve"> BWP</w:t>
      </w:r>
      <w:r w:rsidR="00B8752F" w:rsidRPr="00BD51BB">
        <w:t>.</w:t>
      </w:r>
      <w:bookmarkEnd w:id="3"/>
    </w:p>
    <w:p w14:paraId="404D1061" w14:textId="77777777" w:rsidR="00C64106" w:rsidRPr="00BD51BB" w:rsidRDefault="00C64106" w:rsidP="00C64106">
      <w:pPr>
        <w:pStyle w:val="Heading3"/>
        <w:rPr>
          <w:lang w:val="en-US"/>
        </w:rPr>
      </w:pPr>
      <w:bookmarkStart w:id="4" w:name="_Ref178971380"/>
      <w:r w:rsidRPr="00BD51BB">
        <w:rPr>
          <w:lang w:val="en-US"/>
        </w:rPr>
        <w:t>RA-RNTI collision</w:t>
      </w:r>
    </w:p>
    <w:p w14:paraId="677A41FC" w14:textId="2B2F3B03" w:rsidR="00C64106" w:rsidRPr="00BD51BB" w:rsidRDefault="00C64106" w:rsidP="0067726E">
      <w:r w:rsidRPr="00BD51BB">
        <w:t>Both RAN1 and RAN2 have discussed the need for separate RA-RNTI for additional ROs. In our view, there is no need to update RA-RNTI, neither for Option 1, nor for Option 2. RA-RNTI is determined from, among other things the first symbol in the RO. For Option 1, the single RACH configuration will unambiguously result in separate symbols for legacy and SBFD ROs. For Option 2, on the other hand, there is no such guarantee</w:t>
      </w:r>
      <w:r w:rsidR="00E622D8">
        <w:t xml:space="preserve"> since for Option 2, ROs are not limited to DL symbols</w:t>
      </w:r>
      <w:r w:rsidRPr="00BD51BB">
        <w:t>. However, Option 2 will configure separate PRACH preamble formats and even in case of a collision, the gNB will know, based on its used correlation sequence, whether the preamble is associated with legacy or SBFD RACH configuration. Contention resolution may then proceed in the same way as it is handled among legacy UEs in a legacy RO.</w:t>
      </w:r>
    </w:p>
    <w:p w14:paraId="07B19D34" w14:textId="6200F261" w:rsidR="00C64106" w:rsidRPr="00BD51BB" w:rsidRDefault="00C64106" w:rsidP="0067726E">
      <w:pPr>
        <w:pStyle w:val="Observation"/>
      </w:pPr>
      <w:bookmarkStart w:id="5" w:name="_Toc194086881"/>
      <w:bookmarkStart w:id="6" w:name="_Toc197714058"/>
      <w:r w:rsidRPr="00BD51BB">
        <w:t>There is no need to define a separate RA-RNTI for additional ROs.</w:t>
      </w:r>
      <w:bookmarkEnd w:id="5"/>
      <w:bookmarkEnd w:id="4"/>
      <w:bookmarkEnd w:id="6"/>
    </w:p>
    <w:p w14:paraId="40B9FC62" w14:textId="77777777" w:rsidR="00507F8B" w:rsidRPr="00BD51BB" w:rsidRDefault="00507F8B" w:rsidP="00507F8B">
      <w:pPr>
        <w:pStyle w:val="Heading2"/>
        <w:rPr>
          <w:lang w:val="en-US"/>
        </w:rPr>
      </w:pPr>
      <w:r w:rsidRPr="00BD51BB">
        <w:rPr>
          <w:lang w:val="en-US"/>
        </w:rPr>
        <w:t>ROs spanning across SBFD and non-SBFD symbols</w:t>
      </w:r>
    </w:p>
    <w:p w14:paraId="5E86C656" w14:textId="315FD2FA" w:rsidR="00507F8B" w:rsidRPr="00BD51BB" w:rsidRDefault="00D372EB" w:rsidP="0067726E">
      <w:pPr>
        <w:rPr>
          <w:lang w:eastAsia="ja-JP"/>
        </w:rPr>
      </w:pPr>
      <w:r w:rsidRPr="00BD51BB">
        <w:rPr>
          <w:lang w:eastAsia="ja-JP"/>
        </w:rPr>
        <w:t xml:space="preserve">The topic of ROs across SBFD and non-SBFD symbols have been discussed in contributions </w:t>
      </w:r>
      <w:r w:rsidR="00EB1C6A" w:rsidRPr="00BD51BB">
        <w:rPr>
          <w:lang w:eastAsia="ja-JP"/>
        </w:rPr>
        <w:t>and</w:t>
      </w:r>
      <w:r w:rsidRPr="00BD51BB">
        <w:rPr>
          <w:lang w:eastAsia="ja-JP"/>
        </w:rPr>
        <w:t xml:space="preserve"> offline</w:t>
      </w:r>
      <w:r w:rsidR="00EB1C6A">
        <w:rPr>
          <w:lang w:eastAsia="ja-JP"/>
        </w:rPr>
        <w:t xml:space="preserve"> during the meeting</w:t>
      </w:r>
      <w:r w:rsidRPr="00BD51BB">
        <w:rPr>
          <w:lang w:eastAsia="ja-JP"/>
        </w:rPr>
        <w:t xml:space="preserve">. The remaining issue is where to allow a UE to reconfigure it radio in case first transmitting a PRACH preamble and then immediately after being scheduled with, e.g., a PUSCH. Related to this topic, RAN4 made the following agreement </w:t>
      </w:r>
      <w:r w:rsidR="00A94CA0" w:rsidRPr="00BD51BB">
        <w:rPr>
          <w:lang w:eastAsia="ja-JP"/>
        </w:rPr>
        <w:fldChar w:fldCharType="begin"/>
      </w:r>
      <w:r w:rsidR="00A94CA0" w:rsidRPr="00BD51BB">
        <w:rPr>
          <w:lang w:eastAsia="ja-JP"/>
        </w:rPr>
        <w:instrText xml:space="preserve"> REF _Ref197084182 \n \h  \* MERGEFORMAT </w:instrText>
      </w:r>
      <w:r w:rsidR="00A94CA0" w:rsidRPr="00BD51BB">
        <w:rPr>
          <w:lang w:eastAsia="ja-JP"/>
        </w:rPr>
      </w:r>
      <w:r w:rsidR="00A94CA0" w:rsidRPr="00BD51BB">
        <w:rPr>
          <w:lang w:eastAsia="ja-JP"/>
        </w:rPr>
        <w:fldChar w:fldCharType="separate"/>
      </w:r>
      <w:r w:rsidR="009A067F">
        <w:rPr>
          <w:lang w:eastAsia="ja-JP"/>
        </w:rPr>
        <w:t>[4]</w:t>
      </w:r>
      <w:r w:rsidR="00A94CA0" w:rsidRPr="00BD51BB">
        <w:rPr>
          <w:lang w:eastAsia="ja-JP"/>
        </w:rPr>
        <w:fldChar w:fldCharType="end"/>
      </w:r>
      <w:r w:rsidRPr="00BD51BB">
        <w:rPr>
          <w:lang w:eastAsia="ja-JP"/>
        </w:rPr>
        <w:t>:</w:t>
      </w:r>
    </w:p>
    <w:tbl>
      <w:tblPr>
        <w:tblStyle w:val="TableGrid"/>
        <w:tblW w:w="0" w:type="auto"/>
        <w:tblLook w:val="04A0" w:firstRow="1" w:lastRow="0" w:firstColumn="1" w:lastColumn="0" w:noHBand="0" w:noVBand="1"/>
      </w:tblPr>
      <w:tblGrid>
        <w:gridCol w:w="9629"/>
      </w:tblGrid>
      <w:tr w:rsidR="00507F8B" w:rsidRPr="00BD51BB" w14:paraId="5810B006" w14:textId="77777777" w:rsidTr="00AC4690">
        <w:tc>
          <w:tcPr>
            <w:tcW w:w="9629" w:type="dxa"/>
          </w:tcPr>
          <w:p w14:paraId="7373C4A1" w14:textId="77777777" w:rsidR="00507F8B" w:rsidRPr="00BD51BB" w:rsidRDefault="00507F8B" w:rsidP="0067726E">
            <w:pPr>
              <w:rPr>
                <w:rFonts w:ascii="Times New Roman" w:hAnsi="Times New Roman" w:cs="Times New Roman"/>
                <w:b/>
                <w:bCs/>
                <w:sz w:val="20"/>
                <w:szCs w:val="20"/>
                <w:highlight w:val="green"/>
              </w:rPr>
            </w:pPr>
            <w:r w:rsidRPr="00BD51BB">
              <w:rPr>
                <w:rFonts w:ascii="Times New Roman" w:hAnsi="Times New Roman" w:cs="Times New Roman"/>
                <w:b/>
                <w:bCs/>
                <w:sz w:val="20"/>
                <w:szCs w:val="20"/>
                <w:highlight w:val="green"/>
              </w:rPr>
              <w:t xml:space="preserve">Agreement: </w:t>
            </w:r>
          </w:p>
          <w:p w14:paraId="3B4B4A34" w14:textId="77777777" w:rsidR="00507F8B" w:rsidRPr="00BD51BB" w:rsidRDefault="00507F8B" w:rsidP="0067726E">
            <w:pPr>
              <w:pStyle w:val="ListParagraph"/>
              <w:numPr>
                <w:ilvl w:val="0"/>
                <w:numId w:val="28"/>
              </w:numPr>
              <w:rPr>
                <w:rFonts w:ascii="Times New Roman" w:hAnsi="Times New Roman" w:cs="Times New Roman"/>
                <w:sz w:val="20"/>
                <w:szCs w:val="18"/>
                <w:lang w:val="en-US"/>
              </w:rPr>
            </w:pPr>
            <w:r w:rsidRPr="00BD51BB">
              <w:rPr>
                <w:rFonts w:ascii="Times New Roman" w:hAnsi="Times New Roman" w:cs="Times New Roman"/>
                <w:sz w:val="20"/>
                <w:szCs w:val="18"/>
                <w:lang w:val="en-US"/>
              </w:rPr>
              <w:t>For Case-B, guard symbol(s) should be reserved before UL symbols</w:t>
            </w:r>
          </w:p>
          <w:p w14:paraId="526A6E27" w14:textId="77777777" w:rsidR="00507F8B" w:rsidRPr="00BD51BB" w:rsidRDefault="00507F8B" w:rsidP="0067726E">
            <w:r w:rsidRPr="00BD51BB">
              <w:rPr>
                <w:rFonts w:ascii="Times New Roman" w:hAnsi="Times New Roman" w:cs="Times New Roman"/>
                <w:sz w:val="20"/>
                <w:szCs w:val="20"/>
              </w:rPr>
              <w:t>The transient period can be reserved only in the DL part(s) of SBFD symbol(s) or in the whole channel bandwidth, up to gNB implementation.</w:t>
            </w:r>
          </w:p>
        </w:tc>
      </w:tr>
    </w:tbl>
    <w:p w14:paraId="133DB890" w14:textId="77777777" w:rsidR="00507F8B" w:rsidRPr="00BD51BB" w:rsidRDefault="00507F8B" w:rsidP="0067726E">
      <w:r w:rsidRPr="00BD51BB">
        <w:t xml:space="preserve"> </w:t>
      </w:r>
    </w:p>
    <w:p w14:paraId="139563A2" w14:textId="775908DE" w:rsidR="00D372EB" w:rsidRPr="00BD51BB" w:rsidRDefault="00D372EB" w:rsidP="0067726E">
      <w:r w:rsidRPr="00BD51BB">
        <w:t xml:space="preserve">where Case B refers to a transition from SBFD to UL symbols as explained by </w:t>
      </w:r>
      <w:r w:rsidRPr="00BD51BB">
        <w:fldChar w:fldCharType="begin"/>
      </w:r>
      <w:r w:rsidRPr="00BD51BB">
        <w:instrText xml:space="preserve"> REF _Ref197083115 \h </w:instrText>
      </w:r>
      <w:r w:rsidRPr="00BD51BB">
        <w:fldChar w:fldCharType="separate"/>
      </w:r>
      <w:r w:rsidR="009A067F" w:rsidRPr="00BD51BB">
        <w:t xml:space="preserve">Figure </w:t>
      </w:r>
      <w:r w:rsidR="009A067F">
        <w:rPr>
          <w:noProof/>
        </w:rPr>
        <w:t>1</w:t>
      </w:r>
      <w:r w:rsidRPr="00BD51BB">
        <w:fldChar w:fldCharType="end"/>
      </w:r>
      <w:r w:rsidRPr="00BD51BB">
        <w:t>.</w:t>
      </w:r>
    </w:p>
    <w:p w14:paraId="0499FB57" w14:textId="77777777" w:rsidR="00D372EB" w:rsidRPr="00BD51BB" w:rsidRDefault="00D372EB" w:rsidP="00D372EB">
      <w:pPr>
        <w:keepNext/>
        <w:jc w:val="center"/>
      </w:pPr>
      <w:r w:rsidRPr="00BD51BB">
        <w:rPr>
          <w:noProof/>
        </w:rPr>
        <w:lastRenderedPageBreak/>
        <w:drawing>
          <wp:inline distT="0" distB="0" distL="0" distR="0" wp14:anchorId="0CFE9D9C" wp14:editId="1EF11C53">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8"/>
                    <a:stretch>
                      <a:fillRect/>
                    </a:stretch>
                  </pic:blipFill>
                  <pic:spPr>
                    <a:xfrm>
                      <a:off x="0" y="0"/>
                      <a:ext cx="3657721" cy="1833597"/>
                    </a:xfrm>
                    <a:prstGeom prst="rect">
                      <a:avLst/>
                    </a:prstGeom>
                  </pic:spPr>
                </pic:pic>
              </a:graphicData>
            </a:graphic>
          </wp:inline>
        </w:drawing>
      </w:r>
    </w:p>
    <w:p w14:paraId="224BDEE5" w14:textId="5E477496" w:rsidR="00D372EB" w:rsidRPr="00BD51BB" w:rsidRDefault="00D372EB" w:rsidP="00D372EB">
      <w:pPr>
        <w:pStyle w:val="Caption"/>
      </w:pPr>
      <w:bookmarkStart w:id="7" w:name="_Ref197083115"/>
      <w:r w:rsidRPr="00BD51BB">
        <w:t xml:space="preserve">Figure </w:t>
      </w:r>
      <w:r w:rsidRPr="00BD51BB">
        <w:fldChar w:fldCharType="begin"/>
      </w:r>
      <w:r w:rsidRPr="00BD51BB">
        <w:instrText xml:space="preserve"> SEQ Figure \* ARABIC </w:instrText>
      </w:r>
      <w:r w:rsidRPr="00BD51BB">
        <w:fldChar w:fldCharType="separate"/>
      </w:r>
      <w:r w:rsidR="009A067F">
        <w:rPr>
          <w:noProof/>
        </w:rPr>
        <w:t>1</w:t>
      </w:r>
      <w:r w:rsidRPr="00BD51BB">
        <w:fldChar w:fldCharType="end"/>
      </w:r>
      <w:bookmarkEnd w:id="7"/>
      <w:r w:rsidRPr="00BD51BB">
        <w:t>: The four transition cases to/from SBFD symbols as defined by RAN4.</w:t>
      </w:r>
    </w:p>
    <w:p w14:paraId="7D4CC121" w14:textId="611D58FC" w:rsidR="00D372EB" w:rsidRPr="00BD51BB" w:rsidRDefault="00444ECC" w:rsidP="00D372EB">
      <w:r w:rsidRPr="00BD51BB">
        <w:t>According to</w:t>
      </w:r>
      <w:r w:rsidR="00D372EB" w:rsidRPr="00BD51BB">
        <w:t xml:space="preserve"> the RAN4 agreement, </w:t>
      </w:r>
      <w:r w:rsidRPr="00BD51BB">
        <w:t>the</w:t>
      </w:r>
      <w:r w:rsidR="00D372EB" w:rsidRPr="00BD51BB">
        <w:t xml:space="preserve"> symbols preceding the UL symbols are considered for the trans</w:t>
      </w:r>
      <w:r w:rsidRPr="00BD51BB">
        <w:t>ient/guard</w:t>
      </w:r>
      <w:r w:rsidR="00D372EB" w:rsidRPr="00BD51BB">
        <w:t xml:space="preserve"> period. </w:t>
      </w:r>
      <w:r w:rsidRPr="00BD51BB">
        <w:t xml:space="preserve">In our understanding, a gNB requiring reconfiguring parts of its carrier will reconfigure </w:t>
      </w:r>
      <w:proofErr w:type="gramStart"/>
      <w:r w:rsidRPr="00BD51BB">
        <w:t>all of</w:t>
      </w:r>
      <w:proofErr w:type="gramEnd"/>
      <w:r w:rsidRPr="00BD51BB">
        <w:t xml:space="preserve"> its carrier, why the restriction to DL subbands is hypothetical. Regardless, for a gNB implementation where the guard period is restricted to the DL subbands, there is no problem for the gNB to anyway disregard a PRACH preamble for the guard period. Hence, since the guard period is unambiguously specified, a UE can use it for any necessary UL bandwidth reconfiguration, should the need arise. Consequently, a UE is not expected to transmit a PRACH preamble </w:t>
      </w:r>
      <w:r w:rsidR="00A94CA0" w:rsidRPr="00BD51BB">
        <w:t xml:space="preserve">across SBFD and non-SBFD symbols </w:t>
      </w:r>
      <w:r w:rsidRPr="00BD51BB">
        <w:t>during the guard period immediately preceding UL symbols.</w:t>
      </w:r>
    </w:p>
    <w:p w14:paraId="41DE32BF" w14:textId="77777777" w:rsidR="00507F8B" w:rsidRPr="00BD51BB" w:rsidRDefault="00507F8B" w:rsidP="0067726E">
      <w:pPr>
        <w:pStyle w:val="Observation"/>
      </w:pPr>
      <w:bookmarkStart w:id="8" w:name="_Toc197714059"/>
      <w:r w:rsidRPr="00BD51BB">
        <w:t>Since RAN4 has agreed on explicit and unambiguous guard periods, there is no reason why a UE should not leverage the same guard period for its own reconfiguration.</w:t>
      </w:r>
      <w:bookmarkEnd w:id="8"/>
    </w:p>
    <w:p w14:paraId="5976E19C" w14:textId="3BCBF7F0" w:rsidR="00507F8B" w:rsidRPr="00CC2870" w:rsidRDefault="00CC2870" w:rsidP="00CC2870">
      <w:pPr>
        <w:pStyle w:val="Proposal"/>
        <w:rPr>
          <w:lang w:val="en-GB"/>
        </w:rPr>
      </w:pPr>
      <w:bookmarkStart w:id="9" w:name="_Toc197714071"/>
      <w:r>
        <w:t>I</w:t>
      </w:r>
      <w:r w:rsidRPr="00BD51BB">
        <w:t>n an RO across SBFD and non-SBFD symbols</w:t>
      </w:r>
      <w:r>
        <w:t>, a</w:t>
      </w:r>
      <w:r w:rsidRPr="00BD51BB">
        <w:t xml:space="preserve"> UE is not expected to transmit a PRACH</w:t>
      </w:r>
      <w:r>
        <w:t xml:space="preserve"> preamble</w:t>
      </w:r>
      <w:r w:rsidRPr="00BD51BB">
        <w:t xml:space="preserve"> in the guard</w:t>
      </w:r>
      <w:r>
        <w:t xml:space="preserve"> (transient)</w:t>
      </w:r>
      <w:r w:rsidRPr="00BD51BB">
        <w:t xml:space="preserve"> period immediately preceding UL symbols.</w:t>
      </w:r>
      <w:bookmarkEnd w:id="9"/>
    </w:p>
    <w:p w14:paraId="18E709B8" w14:textId="77777777" w:rsidR="00895AFF" w:rsidRPr="00BD51BB" w:rsidRDefault="00895AFF" w:rsidP="00895AFF">
      <w:pPr>
        <w:pStyle w:val="Heading2"/>
        <w:rPr>
          <w:lang w:val="en-US"/>
        </w:rPr>
      </w:pPr>
      <w:r w:rsidRPr="00BD51BB">
        <w:rPr>
          <w:lang w:val="en-US"/>
        </w:rPr>
        <w:t>PRACH repetitions</w:t>
      </w:r>
    </w:p>
    <w:p w14:paraId="726C9642" w14:textId="1A67C441" w:rsidR="00895AFF" w:rsidRPr="00BD51BB" w:rsidRDefault="00B26E42" w:rsidP="00895AFF">
      <w:r>
        <w:t>Option 1 and Option 2 differ in that</w:t>
      </w:r>
      <w:r w:rsidR="00937AA4">
        <w:t>,</w:t>
      </w:r>
      <w:r>
        <w:t xml:space="preserve"> for Option 1, only the SINR between legacy and additional ROs may differ</w:t>
      </w:r>
      <w:r w:rsidR="00937AA4">
        <w:t>,</w:t>
      </w:r>
      <w:r>
        <w:t xml:space="preserve"> whereas for Option 2</w:t>
      </w:r>
      <w:r w:rsidR="00937AA4">
        <w:t>,</w:t>
      </w:r>
      <w:r>
        <w:t xml:space="preserve"> the SBFD preamble may have completely different properties, most importantly different range. </w:t>
      </w:r>
      <w:r w:rsidR="00895AFF" w:rsidRPr="00BD51BB">
        <w:t>Due to the inherently different properties between the legacy PRACH preamble and the additional PRACH preamble</w:t>
      </w:r>
      <w:r>
        <w:t xml:space="preserve"> </w:t>
      </w:r>
      <w:r w:rsidR="00895AFF" w:rsidRPr="00BD51BB">
        <w:t>for Option 2, it is not advisable to arbitrarily switch between the different RO types using the same repetition counter since a certain repetition counter for a legacy PRACH preamble may be completely wrong for an out-of-range UE, attempting to instead using an additional PRACH preamble with a longer preamble format.</w:t>
      </w:r>
    </w:p>
    <w:p w14:paraId="4ACD4794" w14:textId="67925D38" w:rsidR="00895AFF" w:rsidRPr="00BD51BB" w:rsidRDefault="00895AFF" w:rsidP="00895AFF">
      <w:r w:rsidRPr="00BD51BB">
        <w:t>One may argue that the range problem is only relevant for Option 2 but for Option 1, a different problem related to capacity exist.</w:t>
      </w:r>
      <w:r w:rsidR="00B26E42">
        <w:t xml:space="preserve"> (In our view PRACH repetitions are not </w:t>
      </w:r>
      <w:r w:rsidR="006A3276">
        <w:t>rele</w:t>
      </w:r>
      <w:r w:rsidR="00B26E42">
        <w:t>vant for latency constrained networks.)</w:t>
      </w:r>
      <w:r w:rsidRPr="00BD51BB">
        <w:t xml:space="preserve"> A PRACH capacity deficit is not solved by allowing SBFD-aware UEs to arbitrarily switch to using legacy ROs using unnecessarily many repetitions. Additionally, from a capacity perspective, allowing for frequent switching between legacy and additional ROs will negatively affect capacity since many of the legacy ROs will be used by SBFD-aware UEs. Hence, our conclusion for both Option 1 and Option 2 is that PRACH repetitions</w:t>
      </w:r>
      <w:r w:rsidR="006A3276">
        <w:t xml:space="preserve"> should</w:t>
      </w:r>
      <w:r w:rsidRPr="00BD51BB">
        <w:t xml:space="preserve"> always use RO groups of the same type as the earlier PRACH repetitions. Furthermore, separating the repetition counters will allow for more flexible mixing of the two RO types within a RACH procedure. Although there is a limited benefit for that from a RAN1 and PRACH perspective, such flexibility may be beneficial for higher layer modeling.</w:t>
      </w:r>
    </w:p>
    <w:p w14:paraId="403FDE4B" w14:textId="77777777" w:rsidR="00895AFF" w:rsidRPr="00BD51BB" w:rsidRDefault="00895AFF" w:rsidP="00895AFF">
      <w:pPr>
        <w:pStyle w:val="Observation"/>
      </w:pPr>
      <w:bookmarkStart w:id="10" w:name="_Toc194086387"/>
      <w:bookmarkStart w:id="11" w:name="_Toc194086389"/>
      <w:bookmarkStart w:id="12" w:name="_Toc194086884"/>
      <w:bookmarkStart w:id="13" w:name="_Toc197714060"/>
      <w:bookmarkEnd w:id="10"/>
      <w:bookmarkEnd w:id="11"/>
      <w:r w:rsidRPr="00BD51BB">
        <w:t xml:space="preserve">Reusing the repetition counter for different preamble formats with different </w:t>
      </w:r>
      <w:proofErr w:type="spellStart"/>
      <w:r w:rsidRPr="00BD51BB">
        <w:rPr>
          <w:i/>
          <w:iCs/>
        </w:rPr>
        <w:t>preambleReceivedTargetPower</w:t>
      </w:r>
      <w:proofErr w:type="spellEnd"/>
      <w:r w:rsidRPr="00BD51BB">
        <w:t xml:space="preserve"> configurations will reduce PRACH capacity.</w:t>
      </w:r>
      <w:bookmarkEnd w:id="12"/>
      <w:bookmarkEnd w:id="13"/>
    </w:p>
    <w:p w14:paraId="6D3FC1CE" w14:textId="77777777" w:rsidR="00895AFF" w:rsidRPr="00BD51BB" w:rsidRDefault="00895AFF" w:rsidP="00895AFF">
      <w:pPr>
        <w:pStyle w:val="Observation"/>
      </w:pPr>
      <w:bookmarkStart w:id="14" w:name="_Toc194086885"/>
      <w:bookmarkStart w:id="15" w:name="_Toc197714061"/>
      <w:r w:rsidRPr="00BD51BB">
        <w:t>Reusing the repetition counter or performing frequent switching between RO types in a capacity constrained network will reduce PRACH capacity.</w:t>
      </w:r>
      <w:bookmarkEnd w:id="14"/>
      <w:bookmarkEnd w:id="15"/>
    </w:p>
    <w:p w14:paraId="41FADE84" w14:textId="77777777" w:rsidR="00895AFF" w:rsidRPr="00BD51BB" w:rsidRDefault="00895AFF" w:rsidP="00895AFF">
      <w:pPr>
        <w:pStyle w:val="Observation"/>
      </w:pPr>
      <w:bookmarkStart w:id="16" w:name="_Toc194086886"/>
      <w:bookmarkStart w:id="17" w:name="_Toc197714062"/>
      <w:r w:rsidRPr="00BD51BB">
        <w:t>A UE may apply PRACH repetitions and RO type switching within one RACH procedure.</w:t>
      </w:r>
      <w:bookmarkEnd w:id="16"/>
      <w:bookmarkEnd w:id="17"/>
    </w:p>
    <w:p w14:paraId="50375055" w14:textId="77777777" w:rsidR="00895AFF" w:rsidRPr="00BD51BB" w:rsidRDefault="00895AFF" w:rsidP="00895AFF">
      <w:pPr>
        <w:pStyle w:val="Proposal"/>
        <w:tabs>
          <w:tab w:val="num" w:pos="10376"/>
        </w:tabs>
        <w:ind w:left="1304" w:hanging="1304"/>
      </w:pPr>
      <w:bookmarkStart w:id="18" w:name="_Toc194086897"/>
      <w:bookmarkStart w:id="19" w:name="_Toc197714072"/>
      <w:r w:rsidRPr="00BD51BB">
        <w:lastRenderedPageBreak/>
        <w:t>A UE use separate repetition counters for each RO type.</w:t>
      </w:r>
      <w:bookmarkStart w:id="20" w:name="_Toc194086409"/>
      <w:bookmarkEnd w:id="18"/>
      <w:bookmarkEnd w:id="20"/>
      <w:bookmarkEnd w:id="19"/>
    </w:p>
    <w:p w14:paraId="6A954086" w14:textId="1D385125" w:rsidR="009E29D3" w:rsidRPr="00BD51BB" w:rsidRDefault="00B8752F" w:rsidP="00B8752F">
      <w:pPr>
        <w:pStyle w:val="Heading2"/>
        <w:rPr>
          <w:lang w:val="en-US"/>
        </w:rPr>
      </w:pPr>
      <w:bookmarkStart w:id="21" w:name="_Ref197086915"/>
      <w:r w:rsidRPr="00BD51BB">
        <w:rPr>
          <w:lang w:val="en-US"/>
        </w:rPr>
        <w:t xml:space="preserve">Msg1 power </w:t>
      </w:r>
      <w:r w:rsidR="00C64106" w:rsidRPr="00BD51BB">
        <w:rPr>
          <w:lang w:val="en-US"/>
        </w:rPr>
        <w:t>control</w:t>
      </w:r>
      <w:bookmarkEnd w:id="21"/>
    </w:p>
    <w:p w14:paraId="5DA4582B" w14:textId="28071CFA" w:rsidR="00C64106" w:rsidRPr="00BD51BB" w:rsidRDefault="00C64106" w:rsidP="0067726E">
      <w:r w:rsidRPr="00BD51BB">
        <w:t xml:space="preserve">RAN1 #119 agreed to introduce a separate </w:t>
      </w:r>
      <w:proofErr w:type="spellStart"/>
      <w:r w:rsidRPr="00BD51BB">
        <w:rPr>
          <w:i/>
          <w:iCs/>
        </w:rPr>
        <w:t>preambleReceivedTargetPower</w:t>
      </w:r>
      <w:proofErr w:type="spellEnd"/>
      <w:r w:rsidRPr="00BD51BB">
        <w:t xml:space="preserve"> for additional ROs, according to the below agreement</w:t>
      </w:r>
      <w:r w:rsidR="00EB1C6A">
        <w:t> </w:t>
      </w:r>
      <w:r w:rsidR="00EB1C6A">
        <w:fldChar w:fldCharType="begin"/>
      </w:r>
      <w:r w:rsidR="00EB1C6A">
        <w:instrText xml:space="preserve"> REF _Hlk189756017 \n \h </w:instrText>
      </w:r>
      <w:r w:rsidR="00EB1C6A">
        <w:fldChar w:fldCharType="separate"/>
      </w:r>
      <w:r w:rsidR="009A067F">
        <w:t>[5]</w:t>
      </w:r>
      <w:r w:rsidR="00EB1C6A">
        <w:fldChar w:fldCharType="end"/>
      </w:r>
      <w:r w:rsidRPr="00BD51BB">
        <w:t xml:space="preserve">. However, in RAN1 #120, it was concluded that there is no support to introduce separate </w:t>
      </w:r>
      <w:proofErr w:type="spellStart"/>
      <w:r w:rsidRPr="00BD51BB">
        <w:rPr>
          <w:i/>
          <w:iCs/>
        </w:rPr>
        <w:t>powerRampingStep</w:t>
      </w:r>
      <w:proofErr w:type="spellEnd"/>
      <w:r w:rsidRPr="00BD51BB">
        <w:t xml:space="preserve"> and </w:t>
      </w:r>
      <w:proofErr w:type="spellStart"/>
      <w:r w:rsidRPr="00BD51BB">
        <w:rPr>
          <w:i/>
          <w:iCs/>
        </w:rPr>
        <w:t>powerRampingStepHighPriority</w:t>
      </w:r>
      <w:proofErr w:type="spellEnd"/>
      <w:r w:rsidRPr="00BD51BB">
        <w:t xml:space="preserve"> for additional-ROs</w:t>
      </w:r>
      <w:r w:rsidR="00F265EF">
        <w:t> </w:t>
      </w:r>
      <w:r w:rsidR="00F265EF">
        <w:fldChar w:fldCharType="begin"/>
      </w:r>
      <w:r w:rsidR="00F265EF">
        <w:instrText xml:space="preserve"> REF _Ref197087087 \n \h </w:instrText>
      </w:r>
      <w:r w:rsidR="00F265EF">
        <w:fldChar w:fldCharType="separate"/>
      </w:r>
      <w:r w:rsidR="009A067F">
        <w:t>[6]</w:t>
      </w:r>
      <w:r w:rsidR="00F265EF">
        <w:fldChar w:fldCharType="end"/>
      </w:r>
      <w:r w:rsidRPr="00BD51BB">
        <w:t>:</w:t>
      </w:r>
    </w:p>
    <w:tbl>
      <w:tblPr>
        <w:tblStyle w:val="TableGrid"/>
        <w:tblW w:w="0" w:type="auto"/>
        <w:tblLook w:val="04A0" w:firstRow="1" w:lastRow="0" w:firstColumn="1" w:lastColumn="0" w:noHBand="0" w:noVBand="1"/>
      </w:tblPr>
      <w:tblGrid>
        <w:gridCol w:w="9629"/>
      </w:tblGrid>
      <w:tr w:rsidR="00C64106" w:rsidRPr="00BD51BB" w14:paraId="6C5FF017" w14:textId="77777777" w:rsidTr="00AC4690">
        <w:tc>
          <w:tcPr>
            <w:tcW w:w="9629" w:type="dxa"/>
          </w:tcPr>
          <w:p w14:paraId="04D74D34" w14:textId="77777777" w:rsidR="00C64106" w:rsidRPr="00BD51BB" w:rsidRDefault="00C64106" w:rsidP="0067726E">
            <w:pPr>
              <w:rPr>
                <w:rFonts w:ascii="Times New Roman" w:hAnsi="Times New Roman" w:cs="Times New Roman"/>
                <w:b/>
                <w:bCs/>
                <w:sz w:val="20"/>
                <w:szCs w:val="20"/>
              </w:rPr>
            </w:pPr>
            <w:r w:rsidRPr="00BD51BB">
              <w:rPr>
                <w:rFonts w:ascii="Times New Roman" w:hAnsi="Times New Roman" w:cs="Times New Roman"/>
                <w:b/>
                <w:bCs/>
                <w:sz w:val="20"/>
                <w:szCs w:val="20"/>
                <w:highlight w:val="green"/>
              </w:rPr>
              <w:t>Agreement</w:t>
            </w:r>
          </w:p>
          <w:p w14:paraId="52B986BA" w14:textId="77777777" w:rsidR="00C64106" w:rsidRPr="00BD51BB" w:rsidRDefault="00C64106" w:rsidP="0067726E">
            <w:pPr>
              <w:rPr>
                <w:rFonts w:ascii="Times New Roman" w:hAnsi="Times New Roman" w:cs="Times New Roman"/>
                <w:sz w:val="20"/>
                <w:szCs w:val="20"/>
              </w:rPr>
            </w:pPr>
            <w:r w:rsidRPr="00BD51BB">
              <w:rPr>
                <w:rFonts w:ascii="Times New Roman" w:hAnsi="Times New Roman" w:cs="Times New Roman"/>
                <w:sz w:val="20"/>
                <w:szCs w:val="20"/>
              </w:rPr>
              <w:t xml:space="preserve">For RACH configuration Option 1, for support of separate power control parameters for PRACH transmission in additional-ROs and legacy-ROs, support separate </w:t>
            </w:r>
            <w:bookmarkStart w:id="22" w:name="_Hlk189209439"/>
            <w:proofErr w:type="spellStart"/>
            <w:r w:rsidRPr="00BD51BB">
              <w:rPr>
                <w:rFonts w:ascii="Times New Roman" w:hAnsi="Times New Roman" w:cs="Times New Roman"/>
                <w:i/>
                <w:sz w:val="20"/>
                <w:szCs w:val="20"/>
              </w:rPr>
              <w:t>preambleReceivedTargetPower</w:t>
            </w:r>
            <w:bookmarkEnd w:id="22"/>
            <w:proofErr w:type="spellEnd"/>
            <w:r w:rsidRPr="00BD51BB">
              <w:rPr>
                <w:rFonts w:ascii="Times New Roman" w:hAnsi="Times New Roman" w:cs="Times New Roman"/>
                <w:sz w:val="20"/>
                <w:szCs w:val="20"/>
              </w:rPr>
              <w:t xml:space="preserve"> for additional-ROs.</w:t>
            </w:r>
          </w:p>
          <w:p w14:paraId="3272684F" w14:textId="77777777" w:rsidR="00C64106" w:rsidRPr="00BD51BB" w:rsidRDefault="00C64106" w:rsidP="0067726E">
            <w:pPr>
              <w:pStyle w:val="ListParagraph"/>
              <w:numPr>
                <w:ilvl w:val="0"/>
                <w:numId w:val="26"/>
              </w:numPr>
              <w:rPr>
                <w:rFonts w:ascii="Times New Roman" w:hAnsi="Times New Roman" w:cs="Times New Roman"/>
                <w:sz w:val="20"/>
                <w:lang w:val="en-US"/>
              </w:rPr>
            </w:pPr>
            <w:r w:rsidRPr="00BD51BB">
              <w:rPr>
                <w:rFonts w:ascii="Times New Roman" w:hAnsi="Times New Roman" w:cs="Times New Roman"/>
                <w:sz w:val="20"/>
                <w:lang w:val="en-US"/>
              </w:rPr>
              <w:t xml:space="preserve">FFS: </w:t>
            </w:r>
            <w:bookmarkStart w:id="23" w:name="_Hlk189209630"/>
            <w:proofErr w:type="spellStart"/>
            <w:r w:rsidRPr="00BD51BB">
              <w:rPr>
                <w:rFonts w:ascii="Times New Roman" w:hAnsi="Times New Roman" w:cs="Times New Roman"/>
                <w:sz w:val="20"/>
                <w:lang w:val="en-US"/>
              </w:rPr>
              <w:t>powerRampingStep</w:t>
            </w:r>
            <w:proofErr w:type="spellEnd"/>
            <w:r w:rsidRPr="00BD51BB">
              <w:rPr>
                <w:rFonts w:ascii="Times New Roman" w:eastAsiaTheme="minorEastAsia" w:hAnsi="Times New Roman" w:cs="Times New Roman"/>
                <w:sz w:val="20"/>
                <w:lang w:val="en-US"/>
              </w:rPr>
              <w:t>,</w:t>
            </w:r>
            <w:r w:rsidRPr="00BD51BB">
              <w:rPr>
                <w:rFonts w:ascii="Times New Roman" w:hAnsi="Times New Roman" w:cs="Times New Roman"/>
                <w:sz w:val="20"/>
                <w:lang w:val="en-US"/>
              </w:rPr>
              <w:t xml:space="preserve"> preamble maximum output power </w:t>
            </w:r>
            <m:oMath>
              <m:sSub>
                <m:sSubPr>
                  <m:ctrlPr>
                    <w:rPr>
                      <w:rFonts w:ascii="Cambria Math" w:hAnsi="Cambria Math" w:cs="Times New Roman"/>
                      <w:sz w:val="20"/>
                      <w:lang w:val="en-US"/>
                    </w:rPr>
                  </m:ctrlPr>
                </m:sSubPr>
                <m:e>
                  <m:r>
                    <w:rPr>
                      <w:rFonts w:ascii="Cambria Math" w:hAnsi="Cambria Math" w:cs="Times New Roman"/>
                      <w:sz w:val="20"/>
                      <w:lang w:val="en-US"/>
                    </w:rPr>
                    <m:t>P</m:t>
                  </m:r>
                </m:e>
                <m:sub>
                  <m:r>
                    <w:rPr>
                      <w:rFonts w:ascii="Cambria Math" w:hAnsi="Cambria Math" w:cs="Times New Roman"/>
                      <w:sz w:val="20"/>
                      <w:lang w:val="en-US"/>
                    </w:rPr>
                    <m:t>CMAX</m:t>
                  </m:r>
                </m:sub>
              </m:sSub>
            </m:oMath>
            <w:r w:rsidRPr="00BD51BB">
              <w:rPr>
                <w:rFonts w:ascii="Times New Roman" w:hAnsi="Times New Roman" w:cs="Times New Roman"/>
                <w:sz w:val="20"/>
                <w:lang w:val="en-US"/>
              </w:rPr>
              <w:t xml:space="preserve">, </w:t>
            </w:r>
            <w:proofErr w:type="spellStart"/>
            <w:r w:rsidRPr="00BD51BB">
              <w:rPr>
                <w:rFonts w:ascii="Times New Roman" w:hAnsi="Times New Roman" w:cs="Times New Roman"/>
                <w:sz w:val="20"/>
                <w:lang w:val="en-US"/>
              </w:rPr>
              <w:t>preambleTransMax</w:t>
            </w:r>
            <w:proofErr w:type="spellEnd"/>
            <w:r w:rsidRPr="00BD51BB">
              <w:rPr>
                <w:rFonts w:ascii="Times New Roman" w:hAnsi="Times New Roman" w:cs="Times New Roman"/>
                <w:sz w:val="20"/>
                <w:lang w:val="en-US"/>
              </w:rPr>
              <w:t xml:space="preserve">, </w:t>
            </w:r>
            <w:proofErr w:type="spellStart"/>
            <w:r w:rsidRPr="00BD51BB">
              <w:rPr>
                <w:rFonts w:ascii="Times New Roman" w:hAnsi="Times New Roman" w:cs="Times New Roman"/>
                <w:sz w:val="20"/>
                <w:lang w:val="en-US"/>
              </w:rPr>
              <w:t>powerRampingStepHighPriority</w:t>
            </w:r>
            <w:bookmarkEnd w:id="23"/>
            <w:proofErr w:type="spellEnd"/>
          </w:p>
          <w:p w14:paraId="6A187743" w14:textId="77777777" w:rsidR="00C64106" w:rsidRPr="00BD51BB" w:rsidRDefault="00C64106" w:rsidP="0067726E">
            <w:pPr>
              <w:rPr>
                <w:rFonts w:ascii="Times New Roman" w:hAnsi="Times New Roman" w:cs="Times New Roman"/>
                <w:sz w:val="20"/>
                <w:szCs w:val="20"/>
              </w:rPr>
            </w:pPr>
            <w:r w:rsidRPr="00BD51BB">
              <w:rPr>
                <w:rFonts w:ascii="Times New Roman" w:hAnsi="Times New Roman" w:cs="Times New Roman"/>
                <w:sz w:val="20"/>
                <w:szCs w:val="20"/>
              </w:rPr>
              <w:t>Conclusion</w:t>
            </w:r>
          </w:p>
          <w:p w14:paraId="47A43A01" w14:textId="77777777" w:rsidR="00C64106" w:rsidRPr="00BD51BB" w:rsidRDefault="00C64106" w:rsidP="0067726E">
            <w:pPr>
              <w:rPr>
                <w:rFonts w:ascii="Times New Roman" w:hAnsi="Times New Roman" w:cs="Times New Roman"/>
                <w:sz w:val="20"/>
                <w:szCs w:val="20"/>
              </w:rPr>
            </w:pPr>
            <w:r w:rsidRPr="00BD51BB">
              <w:rPr>
                <w:rFonts w:ascii="Times New Roman" w:hAnsi="Times New Roman" w:cs="Times New Roman"/>
                <w:sz w:val="20"/>
                <w:szCs w:val="20"/>
              </w:rPr>
              <w:t xml:space="preserve">There is no RAN1 consensus on the following proposal: </w:t>
            </w:r>
          </w:p>
          <w:p w14:paraId="02520B17" w14:textId="77777777" w:rsidR="00C64106" w:rsidRPr="00BD51BB" w:rsidRDefault="00C64106" w:rsidP="0067726E">
            <w:pPr>
              <w:rPr>
                <w:rFonts w:ascii="Times New Roman" w:hAnsi="Times New Roman" w:cs="Times New Roman"/>
                <w:sz w:val="20"/>
                <w:szCs w:val="20"/>
              </w:rPr>
            </w:pPr>
            <w:r w:rsidRPr="00BD51BB">
              <w:rPr>
                <w:rFonts w:ascii="Times New Roman" w:hAnsi="Times New Roman" w:cs="Times New Roman"/>
                <w:sz w:val="20"/>
                <w:szCs w:val="20"/>
              </w:rPr>
              <w:t xml:space="preserve">For RACH configuration Option 1, for support of separate power control parameters for PRACH transmission in additional-ROs and legacy-ROs, </w:t>
            </w:r>
          </w:p>
          <w:p w14:paraId="208012DA" w14:textId="77777777" w:rsidR="00C64106" w:rsidRPr="00BD51BB" w:rsidRDefault="00C64106" w:rsidP="0067726E">
            <w:r w:rsidRPr="00BD51BB">
              <w:rPr>
                <w:rFonts w:ascii="Times New Roman" w:hAnsi="Times New Roman" w:cs="Times New Roman"/>
                <w:sz w:val="20"/>
                <w:szCs w:val="20"/>
              </w:rPr>
              <w:t>-</w:t>
            </w:r>
            <w:r w:rsidRPr="00BD51BB">
              <w:rPr>
                <w:rFonts w:ascii="Times New Roman" w:hAnsi="Times New Roman" w:cs="Times New Roman"/>
                <w:sz w:val="20"/>
                <w:szCs w:val="20"/>
              </w:rPr>
              <w:tab/>
              <w:t xml:space="preserve">also support separate </w:t>
            </w:r>
            <w:proofErr w:type="spellStart"/>
            <w:r w:rsidRPr="00BD51BB">
              <w:rPr>
                <w:rFonts w:ascii="Times New Roman" w:hAnsi="Times New Roman" w:cs="Times New Roman"/>
                <w:i/>
                <w:iCs/>
                <w:sz w:val="20"/>
                <w:szCs w:val="20"/>
              </w:rPr>
              <w:t>powerRampingStep</w:t>
            </w:r>
            <w:proofErr w:type="spellEnd"/>
            <w:r w:rsidRPr="00BD51BB">
              <w:rPr>
                <w:rFonts w:ascii="Times New Roman" w:hAnsi="Times New Roman" w:cs="Times New Roman"/>
                <w:sz w:val="20"/>
                <w:szCs w:val="20"/>
              </w:rPr>
              <w:t xml:space="preserve"> and </w:t>
            </w:r>
            <w:proofErr w:type="spellStart"/>
            <w:r w:rsidRPr="00BD51BB">
              <w:rPr>
                <w:rFonts w:ascii="Times New Roman" w:hAnsi="Times New Roman" w:cs="Times New Roman"/>
                <w:i/>
                <w:iCs/>
                <w:sz w:val="20"/>
                <w:szCs w:val="20"/>
              </w:rPr>
              <w:t>powerRampingStepHighPriority</w:t>
            </w:r>
            <w:proofErr w:type="spellEnd"/>
            <w:r w:rsidRPr="00BD51BB">
              <w:rPr>
                <w:rFonts w:ascii="Times New Roman" w:hAnsi="Times New Roman" w:cs="Times New Roman"/>
                <w:sz w:val="20"/>
                <w:szCs w:val="20"/>
              </w:rPr>
              <w:t xml:space="preserve"> for additional-ROs.</w:t>
            </w:r>
          </w:p>
        </w:tc>
      </w:tr>
    </w:tbl>
    <w:p w14:paraId="378A8A5B" w14:textId="77777777" w:rsidR="00C64106" w:rsidRPr="00BD51BB" w:rsidRDefault="00C64106" w:rsidP="0067726E"/>
    <w:p w14:paraId="58EAA364" w14:textId="77777777" w:rsidR="00C64106" w:rsidRPr="00BD51BB" w:rsidRDefault="00C64106" w:rsidP="0067726E">
      <w:r w:rsidRPr="00BD51BB">
        <w:t xml:space="preserve">Absent in the conclusion is whether the additional power control parameters, preamble maximum output power </w:t>
      </w:r>
      <w:r w:rsidRPr="00BD51BB">
        <w:rPr>
          <w:i/>
          <w:iCs/>
        </w:rPr>
        <w:t>P</w:t>
      </w:r>
      <w:r w:rsidRPr="00BD51BB">
        <w:rPr>
          <w:i/>
          <w:iCs/>
          <w:vertAlign w:val="subscript"/>
        </w:rPr>
        <w:t>CMAX</w:t>
      </w:r>
      <w:r w:rsidRPr="00BD51BB">
        <w:t xml:space="preserve"> and </w:t>
      </w:r>
      <w:proofErr w:type="spellStart"/>
      <w:r w:rsidRPr="00BD51BB">
        <w:rPr>
          <w:i/>
          <w:iCs/>
        </w:rPr>
        <w:t>preambleTransMax</w:t>
      </w:r>
      <w:proofErr w:type="spellEnd"/>
      <w:r w:rsidRPr="00BD51BB">
        <w:t>, should also have separate instances for additional ROs.</w:t>
      </w:r>
    </w:p>
    <w:p w14:paraId="3C8B2778" w14:textId="77777777" w:rsidR="00C64106" w:rsidRPr="00BD51BB" w:rsidRDefault="00C64106" w:rsidP="0067726E">
      <w:proofErr w:type="gramStart"/>
      <w:r w:rsidRPr="00BD51BB">
        <w:t>In order for</w:t>
      </w:r>
      <w:proofErr w:type="gramEnd"/>
      <w:r w:rsidRPr="00BD51BB">
        <w:t xml:space="preserve"> the SBFD RACH with a single RACH configuration to be maximally useful, its performance characteristics should deviate minimally from legacy RACH. With respect to that, the main difference between a legacy RO and an additional RO is an expected slight decrease in receiver sensitivity in the gNB due to increased interference levels in SBFD symbols. That difference is handled by the agreed </w:t>
      </w:r>
      <w:proofErr w:type="spellStart"/>
      <w:r w:rsidRPr="00BD51BB">
        <w:rPr>
          <w:i/>
          <w:iCs/>
        </w:rPr>
        <w:t>preambleReceivedTargetPower</w:t>
      </w:r>
      <w:proofErr w:type="spellEnd"/>
      <w:r w:rsidRPr="00BD51BB">
        <w:t xml:space="preserve"> that will allow for a different gNB receive target power mitigating the additional expected interference.</w:t>
      </w:r>
    </w:p>
    <w:p w14:paraId="4175EEE6" w14:textId="5D2C925E" w:rsidR="00C64106" w:rsidRPr="00BD51BB" w:rsidRDefault="00C64106" w:rsidP="0067726E">
      <w:r w:rsidRPr="00BD51BB">
        <w:t xml:space="preserve">For the same reason, there is no need for providing separate instances of </w:t>
      </w:r>
      <w:r w:rsidRPr="00BD51BB">
        <w:rPr>
          <w:i/>
          <w:iCs/>
        </w:rPr>
        <w:t>P</w:t>
      </w:r>
      <w:r w:rsidRPr="00BD51BB">
        <w:rPr>
          <w:i/>
          <w:iCs/>
          <w:vertAlign w:val="subscript"/>
        </w:rPr>
        <w:t>CMAX</w:t>
      </w:r>
      <w:r w:rsidRPr="00BD51BB">
        <w:t xml:space="preserve"> or </w:t>
      </w:r>
      <w:proofErr w:type="spellStart"/>
      <w:r w:rsidRPr="00BD51BB">
        <w:rPr>
          <w:i/>
          <w:iCs/>
        </w:rPr>
        <w:t>preambleTransMax</w:t>
      </w:r>
      <w:proofErr w:type="spellEnd"/>
      <w:r w:rsidRPr="00BD51BB">
        <w:t xml:space="preserve">. For the single SBFD RACH to be useful, performance must not differ too much from legacy performance, i.e., the additional interference in the additional ROs must be marginal. For such a situation, and an unchanged performance in terms of coverage, </w:t>
      </w:r>
      <w:r w:rsidRPr="00BD51BB">
        <w:rPr>
          <w:i/>
          <w:iCs/>
        </w:rPr>
        <w:t>P</w:t>
      </w:r>
      <w:r w:rsidRPr="00BD51BB">
        <w:rPr>
          <w:i/>
          <w:iCs/>
          <w:vertAlign w:val="subscript"/>
        </w:rPr>
        <w:t>CMAX</w:t>
      </w:r>
      <w:r w:rsidRPr="00BD51BB">
        <w:t xml:space="preserve"> should be maintained or possibly increased by the difference between </w:t>
      </w:r>
      <w:proofErr w:type="spellStart"/>
      <w:r w:rsidRPr="00BD51BB">
        <w:rPr>
          <w:i/>
          <w:iCs/>
        </w:rPr>
        <w:t>preambleReceivedTargetPower</w:t>
      </w:r>
      <w:proofErr w:type="spellEnd"/>
      <w:r w:rsidRPr="00BD51BB">
        <w:rPr>
          <w:i/>
          <w:iCs/>
        </w:rPr>
        <w:t xml:space="preserve">-SBFD </w:t>
      </w:r>
      <w:r w:rsidRPr="00BD51BB">
        <w:t>and</w:t>
      </w:r>
      <w:r w:rsidRPr="00BD51BB">
        <w:rPr>
          <w:i/>
          <w:iCs/>
        </w:rPr>
        <w:t xml:space="preserve"> </w:t>
      </w:r>
      <w:proofErr w:type="spellStart"/>
      <w:r w:rsidRPr="00BD51BB">
        <w:rPr>
          <w:i/>
          <w:iCs/>
        </w:rPr>
        <w:t>preambleReceivedTarget</w:t>
      </w:r>
      <w:proofErr w:type="spellEnd"/>
      <w:r w:rsidRPr="00BD51BB">
        <w:rPr>
          <w:i/>
          <w:iCs/>
        </w:rPr>
        <w:t>-Power</w:t>
      </w:r>
      <w:r w:rsidRPr="00BD51BB">
        <w:t xml:space="preserve">. However, </w:t>
      </w:r>
      <w:r w:rsidRPr="00BD51BB">
        <w:rPr>
          <w:i/>
          <w:iCs/>
        </w:rPr>
        <w:t>P</w:t>
      </w:r>
      <w:r w:rsidRPr="00BD51BB">
        <w:rPr>
          <w:i/>
          <w:iCs/>
          <w:vertAlign w:val="subscript"/>
        </w:rPr>
        <w:t>CMAX</w:t>
      </w:r>
      <w:r w:rsidRPr="00BD51BB">
        <w:t xml:space="preserve"> does not only affect RACH but also other UL signals and channels like PUSCH, RS etc., for which reason any changes to it is beyond the scope of the </w:t>
      </w:r>
      <w:r w:rsidR="00937AA4" w:rsidRPr="00BD51BB">
        <w:t>SBFD RA AI and</w:t>
      </w:r>
      <w:r w:rsidRPr="00BD51BB">
        <w:t xml:space="preserve"> should instead be considered in AI 9.3.1. Some companies have proposed to decrease </w:t>
      </w:r>
      <w:r w:rsidRPr="00BD51BB">
        <w:rPr>
          <w:i/>
          <w:iCs/>
        </w:rPr>
        <w:t>P</w:t>
      </w:r>
      <w:r w:rsidRPr="00BD51BB">
        <w:rPr>
          <w:i/>
          <w:iCs/>
          <w:vertAlign w:val="subscript"/>
        </w:rPr>
        <w:t>CMAX</w:t>
      </w:r>
      <w:r w:rsidRPr="00BD51BB">
        <w:t xml:space="preserve"> </w:t>
      </w:r>
      <w:proofErr w:type="gramStart"/>
      <w:r w:rsidRPr="00BD51BB">
        <w:t>in order to</w:t>
      </w:r>
      <w:proofErr w:type="gramEnd"/>
      <w:r w:rsidRPr="00BD51BB">
        <w:t xml:space="preserve"> limit UE-to-UE CLI. However, since PRACH is a very infrequent transmission, such a change will only have a marginal effect on UE-to-UE CLI, if any at all, while it would decrease the network performance of SBFD. A consequence of maintaining </w:t>
      </w:r>
      <w:r w:rsidRPr="00BD51BB">
        <w:rPr>
          <w:i/>
          <w:iCs/>
        </w:rPr>
        <w:t>P</w:t>
      </w:r>
      <w:r w:rsidRPr="00BD51BB">
        <w:rPr>
          <w:i/>
          <w:iCs/>
          <w:vertAlign w:val="subscript"/>
        </w:rPr>
        <w:t>CMAX</w:t>
      </w:r>
      <w:r w:rsidRPr="00BD51BB">
        <w:t xml:space="preserve"> is that there is no need for a different </w:t>
      </w:r>
      <w:proofErr w:type="spellStart"/>
      <w:r w:rsidRPr="00BD51BB">
        <w:rPr>
          <w:i/>
          <w:iCs/>
        </w:rPr>
        <w:t>preambleTransMax</w:t>
      </w:r>
      <w:proofErr w:type="spellEnd"/>
      <w:r w:rsidRPr="00BD51BB">
        <w:t xml:space="preserve">. Furthermore, RAN2 has made agreements to support fallback, implying that there is no need for an additional </w:t>
      </w:r>
      <w:proofErr w:type="spellStart"/>
      <w:r w:rsidRPr="00BD51BB">
        <w:rPr>
          <w:i/>
          <w:iCs/>
        </w:rPr>
        <w:t>preambleTransMax</w:t>
      </w:r>
      <w:proofErr w:type="spellEnd"/>
      <w:r w:rsidRPr="00BD51BB">
        <w:t xml:space="preserve"> since at that point, the UE has already attempted PRACH with different RO types since the fallback threshold is smaller than the </w:t>
      </w:r>
      <w:proofErr w:type="spellStart"/>
      <w:r w:rsidRPr="00BD51BB">
        <w:rPr>
          <w:i/>
          <w:iCs/>
        </w:rPr>
        <w:t>preambleTransMax</w:t>
      </w:r>
      <w:proofErr w:type="spellEnd"/>
      <w:r w:rsidRPr="00BD51BB">
        <w:t xml:space="preserve"> threshold.</w:t>
      </w:r>
    </w:p>
    <w:p w14:paraId="645AD242" w14:textId="77777777" w:rsidR="00C64106" w:rsidRPr="00BD51BB" w:rsidRDefault="00C64106" w:rsidP="0067726E">
      <w:pPr>
        <w:pStyle w:val="Observation"/>
      </w:pPr>
      <w:bookmarkStart w:id="24" w:name="_Toc194086877"/>
      <w:bookmarkStart w:id="25" w:name="_Toc197714063"/>
      <w:r w:rsidRPr="00BD51BB">
        <w:rPr>
          <w:i/>
          <w:iCs/>
        </w:rPr>
        <w:t>P</w:t>
      </w:r>
      <w:r w:rsidRPr="00BD51BB">
        <w:rPr>
          <w:i/>
          <w:iCs/>
          <w:vertAlign w:val="subscript"/>
        </w:rPr>
        <w:t>CMAX</w:t>
      </w:r>
      <w:r w:rsidRPr="00BD51BB">
        <w:t xml:space="preserve"> not only affects PRACH but also other UL signals and channels why a change in </w:t>
      </w:r>
      <w:r w:rsidRPr="00BD51BB">
        <w:rPr>
          <w:i/>
          <w:iCs/>
        </w:rPr>
        <w:t>P</w:t>
      </w:r>
      <w:r w:rsidRPr="00BD51BB">
        <w:rPr>
          <w:i/>
          <w:iCs/>
          <w:vertAlign w:val="subscript"/>
        </w:rPr>
        <w:t>CMAX</w:t>
      </w:r>
      <w:r w:rsidRPr="00BD51BB">
        <w:t xml:space="preserve"> must not be done without considering the consequences of these other signals and channels.</w:t>
      </w:r>
      <w:bookmarkEnd w:id="24"/>
      <w:bookmarkEnd w:id="25"/>
    </w:p>
    <w:p w14:paraId="0B410C9D" w14:textId="77777777" w:rsidR="00C64106" w:rsidRPr="00BD51BB" w:rsidRDefault="00C64106" w:rsidP="0067726E">
      <w:pPr>
        <w:pStyle w:val="Observation"/>
      </w:pPr>
      <w:bookmarkStart w:id="26" w:name="_Toc194086878"/>
      <w:bookmarkStart w:id="27" w:name="_Toc197714064"/>
      <w:r w:rsidRPr="00BD51BB">
        <w:t xml:space="preserve">PRACH is an infrequent transmission and any change in </w:t>
      </w:r>
      <w:r w:rsidRPr="00BD51BB">
        <w:rPr>
          <w:i/>
          <w:iCs/>
        </w:rPr>
        <w:t>P</w:t>
      </w:r>
      <w:r w:rsidRPr="00BD51BB">
        <w:rPr>
          <w:i/>
          <w:iCs/>
          <w:vertAlign w:val="subscript"/>
        </w:rPr>
        <w:t>CMAX</w:t>
      </w:r>
      <w:r w:rsidRPr="00BD51BB">
        <w:t xml:space="preserve"> will have negligible effect on UE-to-UE CLI compared to other, more frequent UL transmissions.</w:t>
      </w:r>
      <w:bookmarkEnd w:id="26"/>
      <w:bookmarkEnd w:id="27"/>
    </w:p>
    <w:p w14:paraId="598DA652" w14:textId="77777777" w:rsidR="00C64106" w:rsidRPr="00BD51BB" w:rsidRDefault="00C64106" w:rsidP="0067726E">
      <w:pPr>
        <w:pStyle w:val="Observation"/>
      </w:pPr>
      <w:bookmarkStart w:id="28" w:name="_Toc194086879"/>
      <w:bookmarkStart w:id="29" w:name="_Toc197714065"/>
      <w:r w:rsidRPr="00BD51BB">
        <w:t xml:space="preserve">RAN2 has agreed to support fallback, implying UE have already attempted transmitting PRACH with different RO types, i.e., no additional </w:t>
      </w:r>
      <w:proofErr w:type="spellStart"/>
      <w:r w:rsidRPr="00BD51BB">
        <w:rPr>
          <w:i/>
          <w:iCs/>
        </w:rPr>
        <w:t>preambleTransMax</w:t>
      </w:r>
      <w:proofErr w:type="spellEnd"/>
      <w:r w:rsidRPr="00BD51BB">
        <w:t xml:space="preserve"> is necessary.</w:t>
      </w:r>
      <w:bookmarkEnd w:id="28"/>
      <w:bookmarkEnd w:id="29"/>
    </w:p>
    <w:p w14:paraId="79676D47" w14:textId="60BE53FA" w:rsidR="00B8752F" w:rsidRPr="00BD51BB" w:rsidRDefault="00C64106" w:rsidP="0067726E">
      <w:pPr>
        <w:pStyle w:val="Proposal"/>
      </w:pPr>
      <w:bookmarkStart w:id="30" w:name="_Toc194086890"/>
      <w:bookmarkStart w:id="31" w:name="_Toc197714073"/>
      <w:r w:rsidRPr="00BD51BB">
        <w:lastRenderedPageBreak/>
        <w:t xml:space="preserve">No SBFD-specific instances of </w:t>
      </w:r>
      <w:r w:rsidRPr="00BD51BB">
        <w:rPr>
          <w:i/>
        </w:rPr>
        <w:t>P</w:t>
      </w:r>
      <w:r w:rsidRPr="00BD51BB">
        <w:rPr>
          <w:i/>
          <w:vertAlign w:val="subscript"/>
        </w:rPr>
        <w:t>CMAX</w:t>
      </w:r>
      <w:r w:rsidRPr="00BD51BB">
        <w:t xml:space="preserve"> or </w:t>
      </w:r>
      <w:proofErr w:type="spellStart"/>
      <w:r w:rsidRPr="00BD51BB">
        <w:rPr>
          <w:i/>
        </w:rPr>
        <w:t>preambleTransMax</w:t>
      </w:r>
      <w:proofErr w:type="spellEnd"/>
      <w:r w:rsidRPr="00BD51BB">
        <w:t xml:space="preserve"> are introduced.</w:t>
      </w:r>
      <w:bookmarkEnd w:id="30"/>
      <w:bookmarkEnd w:id="31"/>
    </w:p>
    <w:p w14:paraId="05D8DAB6" w14:textId="7F9A7142" w:rsidR="0067726E" w:rsidRPr="00BD51BB" w:rsidRDefault="0067726E" w:rsidP="0067726E">
      <w:r w:rsidRPr="00BD51BB">
        <w:t xml:space="preserve">Regarding PRACH preamble power ramping, RAN1 made the following agreements </w:t>
      </w:r>
      <w:r w:rsidR="00F265EF">
        <w:fldChar w:fldCharType="begin"/>
      </w:r>
      <w:r w:rsidR="00F265EF">
        <w:instrText xml:space="preserve"> REF _Ref197087087 \n \h </w:instrText>
      </w:r>
      <w:r w:rsidR="00F265EF">
        <w:fldChar w:fldCharType="separate"/>
      </w:r>
      <w:r w:rsidR="009A067F">
        <w:t>[6]</w:t>
      </w:r>
      <w:r w:rsidR="00F265EF">
        <w:fldChar w:fldCharType="end"/>
      </w:r>
      <w:r w:rsidR="00F265EF">
        <w:rPr>
          <w:highlight w:val="yellow"/>
        </w:rPr>
        <w:fldChar w:fldCharType="begin"/>
      </w:r>
      <w:r w:rsidR="00F265EF">
        <w:instrText xml:space="preserve"> REF _Ref194086571 \n \h </w:instrText>
      </w:r>
      <w:r w:rsidR="00F265EF">
        <w:rPr>
          <w:highlight w:val="yellow"/>
        </w:rPr>
      </w:r>
      <w:r w:rsidR="00F265EF">
        <w:rPr>
          <w:highlight w:val="yellow"/>
        </w:rPr>
        <w:fldChar w:fldCharType="separate"/>
      </w:r>
      <w:r w:rsidR="009A067F">
        <w:t>[2]</w:t>
      </w:r>
      <w:r w:rsidR="00F265EF">
        <w:rPr>
          <w:highlight w:val="yellow"/>
        </w:rPr>
        <w:fldChar w:fldCharType="end"/>
      </w:r>
      <w:r w:rsidRPr="00BD51BB">
        <w:t>:</w:t>
      </w:r>
    </w:p>
    <w:tbl>
      <w:tblPr>
        <w:tblStyle w:val="TableGrid"/>
        <w:tblW w:w="0" w:type="auto"/>
        <w:tblLook w:val="04A0" w:firstRow="1" w:lastRow="0" w:firstColumn="1" w:lastColumn="0" w:noHBand="0" w:noVBand="1"/>
      </w:tblPr>
      <w:tblGrid>
        <w:gridCol w:w="9629"/>
      </w:tblGrid>
      <w:tr w:rsidR="00B8752F" w:rsidRPr="00BD51BB" w14:paraId="1C8BC98C" w14:textId="77777777" w:rsidTr="00AC4690">
        <w:tc>
          <w:tcPr>
            <w:tcW w:w="9629" w:type="dxa"/>
          </w:tcPr>
          <w:p w14:paraId="362BCA7C" w14:textId="77777777" w:rsidR="0067726E" w:rsidRPr="00BD51BB" w:rsidRDefault="0067726E" w:rsidP="0067726E">
            <w:pPr>
              <w:rPr>
                <w:rFonts w:ascii="Times New Roman" w:hAnsi="Times New Roman" w:cs="Times New Roman"/>
                <w:b/>
                <w:bCs/>
                <w:sz w:val="20"/>
                <w:szCs w:val="20"/>
              </w:rPr>
            </w:pPr>
            <w:r w:rsidRPr="00BD51BB">
              <w:rPr>
                <w:rFonts w:ascii="Times New Roman" w:hAnsi="Times New Roman" w:cs="Times New Roman"/>
                <w:b/>
                <w:bCs/>
                <w:sz w:val="20"/>
                <w:szCs w:val="20"/>
                <w:highlight w:val="green"/>
              </w:rPr>
              <w:t>Agreement</w:t>
            </w:r>
          </w:p>
          <w:p w14:paraId="4903BC35" w14:textId="77777777" w:rsidR="0067726E" w:rsidRPr="00BD51BB" w:rsidRDefault="0067726E" w:rsidP="0067726E">
            <w:pPr>
              <w:rPr>
                <w:rFonts w:ascii="Times New Roman" w:hAnsi="Times New Roman" w:cs="Times New Roman"/>
                <w:sz w:val="20"/>
                <w:szCs w:val="20"/>
              </w:rPr>
            </w:pPr>
            <w:r w:rsidRPr="00BD51BB">
              <w:rPr>
                <w:rFonts w:ascii="Times New Roman" w:hAnsi="Times New Roman" w:cs="Times New Roman"/>
                <w:sz w:val="20"/>
                <w:szCs w:val="20"/>
              </w:rPr>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2F5809D5" w14:textId="77777777" w:rsidR="0067726E" w:rsidRPr="00BD51BB" w:rsidRDefault="0067726E" w:rsidP="0067726E">
            <w:pPr>
              <w:pStyle w:val="ListParagraph"/>
              <w:numPr>
                <w:ilvl w:val="0"/>
                <w:numId w:val="26"/>
              </w:numPr>
              <w:rPr>
                <w:rFonts w:ascii="Times New Roman" w:hAnsi="Times New Roman" w:cs="Times New Roman"/>
                <w:sz w:val="20"/>
                <w:lang w:val="en-US"/>
              </w:rPr>
            </w:pPr>
            <w:r w:rsidRPr="00BD51BB">
              <w:rPr>
                <w:rFonts w:ascii="Times New Roman" w:hAnsi="Times New Roman" w:cs="Times New Roman"/>
                <w:sz w:val="20"/>
                <w:lang w:val="en-US"/>
              </w:rPr>
              <w:t>Alt-1: Increase the power ramping counter</w:t>
            </w:r>
            <w:r w:rsidRPr="00BD51BB">
              <w:rPr>
                <w:rFonts w:ascii="Times New Roman" w:eastAsiaTheme="minorEastAsia" w:hAnsi="Times New Roman" w:cs="Times New Roman"/>
                <w:sz w:val="20"/>
                <w:lang w:val="en-US"/>
              </w:rPr>
              <w:t>.</w:t>
            </w:r>
          </w:p>
          <w:p w14:paraId="5F7DFC48" w14:textId="77777777" w:rsidR="0067726E" w:rsidRPr="00BD51BB" w:rsidRDefault="0067726E" w:rsidP="0067726E">
            <w:pPr>
              <w:pStyle w:val="ListParagraph"/>
              <w:numPr>
                <w:ilvl w:val="1"/>
                <w:numId w:val="26"/>
              </w:numPr>
              <w:rPr>
                <w:rFonts w:ascii="Times New Roman" w:hAnsi="Times New Roman" w:cs="Times New Roman"/>
                <w:sz w:val="20"/>
                <w:lang w:val="en-US"/>
              </w:rPr>
            </w:pPr>
            <w:r w:rsidRPr="00BD51BB">
              <w:rPr>
                <w:rFonts w:ascii="Times New Roman" w:eastAsiaTheme="minorEastAsia" w:hAnsi="Times New Roman" w:cs="Times New Roman"/>
                <w:sz w:val="20"/>
                <w:lang w:val="en-US"/>
              </w:rPr>
              <w:t>FFS</w:t>
            </w:r>
            <w:r w:rsidRPr="00BD51BB">
              <w:rPr>
                <w:rFonts w:ascii="Times New Roman" w:hAnsi="Times New Roman" w:cs="Times New Roman"/>
                <w:sz w:val="20"/>
                <w:lang w:val="en-US"/>
              </w:rPr>
              <w:t xml:space="preserve"> </w:t>
            </w:r>
            <w:r w:rsidRPr="00BD51BB">
              <w:rPr>
                <w:rFonts w:ascii="Times New Roman" w:eastAsiaTheme="minorEastAsia" w:hAnsi="Times New Roman" w:cs="Times New Roman"/>
                <w:sz w:val="20"/>
                <w:lang w:val="en-US"/>
              </w:rPr>
              <w:t xml:space="preserve">whether to </w:t>
            </w:r>
            <w:r w:rsidRPr="00BD51BB">
              <w:rPr>
                <w:rFonts w:ascii="Times New Roman" w:hAnsi="Times New Roman" w:cs="Times New Roman"/>
                <w:sz w:val="20"/>
                <w:lang w:val="en-US"/>
              </w:rPr>
              <w:t xml:space="preserve">introduce a power offset to compensate the power ramping difference </w:t>
            </w:r>
            <w:r w:rsidRPr="00BD51BB">
              <w:rPr>
                <w:rFonts w:ascii="Times New Roman" w:eastAsiaTheme="minorEastAsia" w:hAnsi="Times New Roman" w:cs="Times New Roman"/>
                <w:sz w:val="20"/>
                <w:lang w:val="en-US"/>
              </w:rPr>
              <w:t>for RACH configuration Option 2</w:t>
            </w:r>
            <w:r w:rsidRPr="00BD51BB">
              <w:rPr>
                <w:rFonts w:ascii="Times New Roman" w:hAnsi="Times New Roman" w:cs="Times New Roman"/>
                <w:sz w:val="20"/>
                <w:lang w:val="en-US"/>
              </w:rPr>
              <w:t>.</w:t>
            </w:r>
          </w:p>
          <w:p w14:paraId="7F443011" w14:textId="77777777" w:rsidR="0067726E" w:rsidRPr="00BD51BB" w:rsidRDefault="0067726E" w:rsidP="0067726E">
            <w:pPr>
              <w:pStyle w:val="ListParagraph"/>
              <w:numPr>
                <w:ilvl w:val="0"/>
                <w:numId w:val="26"/>
              </w:numPr>
              <w:rPr>
                <w:rFonts w:ascii="Times New Roman" w:hAnsi="Times New Roman" w:cs="Times New Roman"/>
                <w:sz w:val="20"/>
                <w:lang w:val="en-US"/>
              </w:rPr>
            </w:pPr>
            <w:r w:rsidRPr="00BD51BB">
              <w:rPr>
                <w:rFonts w:ascii="Times New Roman" w:hAnsi="Times New Roman" w:cs="Times New Roman"/>
                <w:sz w:val="20"/>
                <w:lang w:val="en-US"/>
              </w:rPr>
              <w:t>Alt-2: Reset the power ramping.</w:t>
            </w:r>
          </w:p>
          <w:p w14:paraId="73AFB125" w14:textId="75F4FB2D" w:rsidR="0067726E" w:rsidRPr="00BD51BB" w:rsidRDefault="0067726E" w:rsidP="0067726E">
            <w:pPr>
              <w:rPr>
                <w:rFonts w:ascii="Times New Roman" w:hAnsi="Times New Roman" w:cs="Times New Roman"/>
                <w:b/>
                <w:bCs/>
                <w:sz w:val="20"/>
                <w:szCs w:val="20"/>
                <w:highlight w:val="green"/>
              </w:rPr>
            </w:pPr>
            <w:r w:rsidRPr="00BD51BB">
              <w:rPr>
                <w:rFonts w:ascii="Times New Roman" w:hAnsi="Times New Roman" w:cs="Times New Roman"/>
                <w:sz w:val="20"/>
                <w:szCs w:val="20"/>
              </w:rPr>
              <w:t>Note: different alternatives can be applied for different RACH configuration options.</w:t>
            </w:r>
          </w:p>
          <w:p w14:paraId="0FD82B77" w14:textId="440AF6ED" w:rsidR="00B8752F" w:rsidRPr="00BD51BB" w:rsidRDefault="00B8752F" w:rsidP="0067726E">
            <w:pPr>
              <w:rPr>
                <w:rFonts w:ascii="Times New Roman" w:hAnsi="Times New Roman" w:cs="Times New Roman"/>
                <w:b/>
                <w:bCs/>
                <w:sz w:val="20"/>
                <w:szCs w:val="20"/>
              </w:rPr>
            </w:pPr>
            <w:r w:rsidRPr="00BD51BB">
              <w:rPr>
                <w:rFonts w:ascii="Times New Roman" w:hAnsi="Times New Roman" w:cs="Times New Roman"/>
                <w:b/>
                <w:bCs/>
                <w:sz w:val="20"/>
                <w:szCs w:val="20"/>
                <w:highlight w:val="green"/>
              </w:rPr>
              <w:t>Agreement</w:t>
            </w:r>
          </w:p>
          <w:p w14:paraId="730832A5" w14:textId="77777777" w:rsidR="00B8752F" w:rsidRPr="00BD51BB" w:rsidRDefault="00B8752F" w:rsidP="0067726E">
            <w:r w:rsidRPr="00BD51BB">
              <w:rPr>
                <w:rFonts w:ascii="Times New Roman" w:hAnsi="Times New Roman" w:cs="Times New Roman"/>
                <w:sz w:val="20"/>
                <w:szCs w:val="20"/>
              </w:rPr>
              <w:t>For RACH configuration Option 1 and Option 2, when a SBFD-aware UE switches from additional-ROs to legacy-ROs in PRACH transmission re-attempt in one RACH procedure, support Alt-1: Increase the power ramping counter.</w:t>
            </w:r>
          </w:p>
        </w:tc>
      </w:tr>
    </w:tbl>
    <w:p w14:paraId="10ABC444" w14:textId="77777777" w:rsidR="00154EE5" w:rsidRDefault="00154EE5" w:rsidP="0067726E"/>
    <w:p w14:paraId="3FBE7650" w14:textId="4FD3F005" w:rsidR="0067726E" w:rsidRPr="00BD51BB" w:rsidRDefault="0067726E" w:rsidP="0067726E">
      <w:r w:rsidRPr="00BD51BB">
        <w:t>The procedure of power ramping in TS 38.321 is common for both Option 1 and Option 2 since RAN2 does not differentiate between the single and additional RACH configurations. The general legacy power ramping functionality can be summarized as:</w:t>
      </w:r>
    </w:p>
    <w:p w14:paraId="08CDA6AB" w14:textId="77777777" w:rsidR="0067726E" w:rsidRPr="00BD51BB" w:rsidRDefault="0067726E" w:rsidP="0067726E">
      <w:pPr>
        <w:pStyle w:val="ListParagraph"/>
        <w:numPr>
          <w:ilvl w:val="0"/>
          <w:numId w:val="29"/>
        </w:numPr>
        <w:rPr>
          <w:lang w:val="en-US"/>
        </w:rPr>
      </w:pPr>
      <w:r w:rsidRPr="00BD51BB">
        <w:rPr>
          <w:lang w:val="en-US"/>
        </w:rPr>
        <w:t>Power ramping is reset if the physical layer indicates a new SSB (UE mobility).</w:t>
      </w:r>
    </w:p>
    <w:p w14:paraId="547FAC29" w14:textId="77777777" w:rsidR="0067726E" w:rsidRPr="00BD51BB" w:rsidRDefault="0067726E" w:rsidP="0067726E">
      <w:pPr>
        <w:pStyle w:val="ListParagraph"/>
        <w:numPr>
          <w:ilvl w:val="0"/>
          <w:numId w:val="29"/>
        </w:numPr>
        <w:rPr>
          <w:lang w:val="en-US"/>
        </w:rPr>
      </w:pPr>
      <w:r w:rsidRPr="00BD51BB">
        <w:rPr>
          <w:lang w:val="en-US"/>
        </w:rPr>
        <w:t>Power ramping is reset if the physical layer indicates a UE beam switch (UE orientation).</w:t>
      </w:r>
    </w:p>
    <w:p w14:paraId="5DCC49FE" w14:textId="68BFEE1A" w:rsidR="0067726E" w:rsidRPr="00BD51BB" w:rsidRDefault="0067726E" w:rsidP="0067726E">
      <w:pPr>
        <w:pStyle w:val="ListParagraph"/>
        <w:numPr>
          <w:ilvl w:val="0"/>
          <w:numId w:val="29"/>
        </w:numPr>
        <w:spacing w:after="240"/>
        <w:rPr>
          <w:lang w:val="en-US"/>
        </w:rPr>
      </w:pPr>
      <w:r w:rsidRPr="00BD51BB">
        <w:rPr>
          <w:lang w:val="en-US"/>
        </w:rPr>
        <w:t>Otherwise, power ramping counter is increased by 1 and a new target power is computed.</w:t>
      </w:r>
    </w:p>
    <w:p w14:paraId="3347B596" w14:textId="77777777" w:rsidR="0067726E" w:rsidRPr="00BD51BB" w:rsidRDefault="0067726E" w:rsidP="0067726E">
      <w:r w:rsidRPr="00BD51BB">
        <w:t>In our view, neither a change of SSB or a UE Tx beam switch are associated with RO type selection and does not need to be particularly considered for SBFD.</w:t>
      </w:r>
    </w:p>
    <w:p w14:paraId="68A72670" w14:textId="6339506A" w:rsidR="00474E7A" w:rsidRPr="00BD51BB" w:rsidRDefault="0067726E" w:rsidP="0067726E">
      <w:r w:rsidRPr="00BD51BB">
        <w:t xml:space="preserve">Considering the different objectives (capacity and latency vs range and coverage) for the single and the additional RACH configuration, it is evident that different RACH reselection and power ramping may be preferable for the two options. Although sharing power ramping counter for different RO types would be feasible and possibly even advantageous from a latency perspective for the single RACH configuration, in our view, power ramping should not be an issue in a latency restricted network. Furthermore, </w:t>
      </w:r>
      <w:r w:rsidR="00474E7A" w:rsidRPr="00BD51BB">
        <w:t>in a</w:t>
      </w:r>
      <w:r w:rsidRPr="00BD51BB">
        <w:t xml:space="preserve"> RACH capacity restricted network, the SBFD-aware UE should keep using additional ROs for as long as possible, in which case an RO switch will only take place upon a RACH failure.</w:t>
      </w:r>
    </w:p>
    <w:p w14:paraId="49EABDCE" w14:textId="18B87FB7" w:rsidR="00474E7A" w:rsidRPr="00BD51BB" w:rsidRDefault="00474E7A" w:rsidP="0067726E">
      <w:r w:rsidRPr="00BD51BB">
        <w:t xml:space="preserve">In RAN1 #120bis, RAN1 agreed </w:t>
      </w:r>
      <w:r w:rsidR="003E0E67" w:rsidRPr="00BD51BB">
        <w:t xml:space="preserve">for both Option 1 and Option 2 </w:t>
      </w:r>
      <w:r w:rsidRPr="00BD51BB">
        <w:t xml:space="preserve">to </w:t>
      </w:r>
      <w:r w:rsidR="003E0E67" w:rsidRPr="00BD51BB">
        <w:t>increase the power ramping counter</w:t>
      </w:r>
      <w:r w:rsidRPr="00BD51BB">
        <w:t xml:space="preserve"> </w:t>
      </w:r>
      <w:r w:rsidR="003E0E67" w:rsidRPr="00BD51BB">
        <w:t>when a SBFD-aware UE switches from additional ROs to legacy ROs in PRACH transmission re-attempt in one RACH procedure. However, at that moment, RAN2 had not agreed on transitions in the other direction, i.e., from legacy ROs to additional ROs.</w:t>
      </w:r>
    </w:p>
    <w:p w14:paraId="4DBB3A24" w14:textId="42540F4C" w:rsidR="003E0E67" w:rsidRPr="00BD51BB" w:rsidRDefault="00E57D0B" w:rsidP="0067726E">
      <w:r w:rsidRPr="00BD51BB">
        <w:t>For the sake of spec simplicity</w:t>
      </w:r>
      <w:r w:rsidR="003E0E67" w:rsidRPr="00BD51BB">
        <w:t xml:space="preserve">, it </w:t>
      </w:r>
      <w:r w:rsidR="00A93F0E" w:rsidRPr="00BD51BB">
        <w:t>would</w:t>
      </w:r>
      <w:r w:rsidR="003E0E67" w:rsidRPr="00BD51BB">
        <w:t xml:space="preserve"> </w:t>
      </w:r>
      <w:r w:rsidR="003742B2" w:rsidRPr="00BD51BB">
        <w:t xml:space="preserve">be </w:t>
      </w:r>
      <w:r w:rsidR="003E0E67" w:rsidRPr="00BD51BB">
        <w:t>advantageous to use a uniform approach</w:t>
      </w:r>
      <w:r w:rsidR="00A93F0E" w:rsidRPr="00BD51BB">
        <w:t xml:space="preserve"> for both transition directions</w:t>
      </w:r>
      <w:r w:rsidR="003E0E67" w:rsidRPr="00BD51BB">
        <w:t xml:space="preserve">, hence implying that the power ramping counter should be increased also for transitions from legacy ROs to additional ROs. However, that must not come at a too high expense in terms of functionality. </w:t>
      </w:r>
      <w:r w:rsidRPr="00BD51BB">
        <w:t>In our view, t</w:t>
      </w:r>
      <w:r w:rsidR="003E0E67" w:rsidRPr="00BD51BB">
        <w:t>h</w:t>
      </w:r>
      <w:r w:rsidRPr="00BD51BB">
        <w:t>e</w:t>
      </w:r>
      <w:r w:rsidR="003E0E67" w:rsidRPr="00BD51BB">
        <w:t xml:space="preserve"> typical scenario for transitioning from legacy ROs to additional ROs is the range limited scenario</w:t>
      </w:r>
      <w:r w:rsidRPr="00BD51BB">
        <w:t xml:space="preserve"> for which Option 2 was specified. </w:t>
      </w:r>
      <w:r w:rsidR="00A93F0E" w:rsidRPr="00BD51BB">
        <w:t>The typical case here would be to start with legacy ROs, since that would suffice for the vast majority of UEs</w:t>
      </w:r>
      <w:r w:rsidR="00895AFF" w:rsidRPr="00BD51BB">
        <w:t xml:space="preserve">, see </w:t>
      </w:r>
      <w:r w:rsidR="00895AFF" w:rsidRPr="00BD51BB">
        <w:fldChar w:fldCharType="begin"/>
      </w:r>
      <w:r w:rsidR="00895AFF" w:rsidRPr="00BD51BB">
        <w:instrText xml:space="preserve"> REF _Ref196896176 \h </w:instrText>
      </w:r>
      <w:r w:rsidR="00895AFF" w:rsidRPr="00BD51BB">
        <w:fldChar w:fldCharType="separate"/>
      </w:r>
      <w:r w:rsidR="009A067F" w:rsidRPr="00BD51BB">
        <w:t xml:space="preserve">Figure </w:t>
      </w:r>
      <w:r w:rsidR="009A067F">
        <w:rPr>
          <w:noProof/>
        </w:rPr>
        <w:t>2</w:t>
      </w:r>
      <w:r w:rsidR="00895AFF" w:rsidRPr="00BD51BB">
        <w:fldChar w:fldCharType="end"/>
      </w:r>
      <w:r w:rsidR="008112DC">
        <w:t xml:space="preserve">, </w:t>
      </w:r>
      <w:proofErr w:type="gramStart"/>
      <w:r w:rsidR="008112DC">
        <w:t>and also</w:t>
      </w:r>
      <w:proofErr w:type="gramEnd"/>
      <w:r w:rsidR="008112DC">
        <w:t xml:space="preserve"> reduce gNB complexity from </w:t>
      </w:r>
      <w:r w:rsidR="000726D2">
        <w:t>reducing the path delay search space</w:t>
      </w:r>
      <w:r w:rsidR="00A93F0E" w:rsidRPr="00BD51BB">
        <w:t>. The relatively few UEs still not being able to perform initial access would switch to the</w:t>
      </w:r>
      <w:r w:rsidRPr="00BD51BB">
        <w:t xml:space="preserve"> longer preamble format</w:t>
      </w:r>
      <w:r w:rsidR="00A93F0E" w:rsidRPr="00BD51BB">
        <w:t xml:space="preserve">, allowing for a </w:t>
      </w:r>
      <w:r w:rsidRPr="00BD51BB">
        <w:t>longer path delay, and a correspondingly longer range. For this scenario, transmission power may have very little to do with a successful preamble detection</w:t>
      </w:r>
      <w:r w:rsidR="003742B2" w:rsidRPr="00BD51BB">
        <w:t>. Hence, power ramping in legacy ROs may be increased far beyond the level that is required for a successful reception with the additional PRACH preamble before fallback to the additional ROs takes place.</w:t>
      </w:r>
    </w:p>
    <w:p w14:paraId="4A27BA67" w14:textId="7C5DF0F9" w:rsidR="00895AFF" w:rsidRPr="00BD51BB" w:rsidRDefault="00F222A4" w:rsidP="00895AFF">
      <w:pPr>
        <w:keepNext/>
        <w:jc w:val="center"/>
      </w:pPr>
      <w:r w:rsidRPr="00BD51BB">
        <w:object w:dxaOrig="7441" w:dyaOrig="3196" w14:anchorId="64BE4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8pt;height:127.85pt" o:ole="">
            <v:imagedata r:id="rId9" o:title=""/>
          </v:shape>
          <o:OLEObject Type="Embed" ProgID="Visio.Drawing.15" ShapeID="_x0000_i1025" DrawAspect="Content" ObjectID="_1808326925" r:id="rId10"/>
        </w:object>
      </w:r>
    </w:p>
    <w:p w14:paraId="20465B92" w14:textId="6739C9F5" w:rsidR="00895AFF" w:rsidRPr="00BD51BB" w:rsidRDefault="00895AFF" w:rsidP="00895AFF">
      <w:pPr>
        <w:pStyle w:val="Caption"/>
      </w:pPr>
      <w:bookmarkStart w:id="32" w:name="_Ref196896176"/>
      <w:r w:rsidRPr="00BD51BB">
        <w:t xml:space="preserve">Figure </w:t>
      </w:r>
      <w:r w:rsidRPr="00BD51BB">
        <w:fldChar w:fldCharType="begin"/>
      </w:r>
      <w:r w:rsidRPr="00BD51BB">
        <w:instrText xml:space="preserve"> SEQ Figure \* ARABIC </w:instrText>
      </w:r>
      <w:r w:rsidRPr="00BD51BB">
        <w:fldChar w:fldCharType="separate"/>
      </w:r>
      <w:r w:rsidR="009A067F">
        <w:rPr>
          <w:noProof/>
        </w:rPr>
        <w:t>2</w:t>
      </w:r>
      <w:r w:rsidRPr="00BD51BB">
        <w:fldChar w:fldCharType="end"/>
      </w:r>
      <w:bookmarkEnd w:id="32"/>
      <w:r w:rsidRPr="00BD51BB">
        <w:t xml:space="preserve">: Illustration of SBFD RACH for </w:t>
      </w:r>
      <w:r w:rsidRPr="00BD51BB">
        <w:rPr>
          <w:noProof/>
        </w:rPr>
        <w:t>increased range.</w:t>
      </w:r>
    </w:p>
    <w:p w14:paraId="033A1AB9" w14:textId="6A57E379" w:rsidR="00E57D0B" w:rsidRPr="00BD51BB" w:rsidRDefault="00E57D0B" w:rsidP="0067726E">
      <w:r w:rsidRPr="00BD51BB">
        <w:t xml:space="preserve">The drawbacks with increasing the power ramping counter for the range limited scenario may be severe. Worst case, the gNB receiver will be saturated, preventing proper detection of the preamble. </w:t>
      </w:r>
      <w:r w:rsidR="00A93F0E" w:rsidRPr="00BD51BB">
        <w:t>A l</w:t>
      </w:r>
      <w:r w:rsidRPr="00BD51BB">
        <w:t xml:space="preserve">ess severe but more common issue may be increased UE-to-UE CLI arising from the transmission of an unnecessarily </w:t>
      </w:r>
      <w:r w:rsidR="00A93F0E" w:rsidRPr="00BD51BB">
        <w:t>strong</w:t>
      </w:r>
      <w:r w:rsidRPr="00BD51BB">
        <w:t xml:space="preserve"> P</w:t>
      </w:r>
      <w:r w:rsidR="00A93F0E" w:rsidRPr="00BD51BB">
        <w:t>R</w:t>
      </w:r>
      <w:r w:rsidRPr="00BD51BB">
        <w:t>ACH preamble.</w:t>
      </w:r>
      <w:r w:rsidR="00A93F0E" w:rsidRPr="00BD51BB">
        <w:t xml:space="preserve"> Yet another issue may be inter-cell interference, in which case transmitting a too strong PRACH preamble may interfere with other cells PRACH detection.</w:t>
      </w:r>
      <w:r w:rsidR="003742B2" w:rsidRPr="00BD51BB">
        <w:t xml:space="preserve"> Finally, since subsequent UE transmission during RA are based on the PRACH preamble, an erroneous PRACH preamble power level may propagate throughout the whole RA procedure.</w:t>
      </w:r>
    </w:p>
    <w:p w14:paraId="5B782A5D" w14:textId="4E6CAC21" w:rsidR="003742B2" w:rsidRPr="00BD51BB" w:rsidRDefault="003742B2" w:rsidP="0067726E">
      <w:pPr>
        <w:pStyle w:val="Observation"/>
      </w:pPr>
      <w:bookmarkStart w:id="33" w:name="_Toc197714066"/>
      <w:r w:rsidRPr="00BD51BB">
        <w:t xml:space="preserve">For the range limited scenario, power ramping </w:t>
      </w:r>
      <w:r w:rsidR="00AB6FA9" w:rsidRPr="00BD51BB">
        <w:t xml:space="preserve">using the </w:t>
      </w:r>
      <w:r w:rsidRPr="00BD51BB">
        <w:t xml:space="preserve">legacy </w:t>
      </w:r>
      <w:r w:rsidR="00AB6FA9" w:rsidRPr="00BD51BB">
        <w:t>preamble</w:t>
      </w:r>
      <w:r w:rsidRPr="00BD51BB">
        <w:t xml:space="preserve"> </w:t>
      </w:r>
      <w:r w:rsidR="00AB6FA9" w:rsidRPr="00BD51BB">
        <w:t xml:space="preserve">format </w:t>
      </w:r>
      <w:r w:rsidRPr="00BD51BB">
        <w:t>may increase</w:t>
      </w:r>
      <w:r w:rsidR="00AB6FA9" w:rsidRPr="00BD51BB">
        <w:t xml:space="preserve"> transmit power</w:t>
      </w:r>
      <w:r w:rsidRPr="00BD51BB">
        <w:t xml:space="preserve"> far beyond the level that is required </w:t>
      </w:r>
      <w:r w:rsidR="00AB6FA9" w:rsidRPr="00BD51BB">
        <w:t xml:space="preserve">to </w:t>
      </w:r>
      <w:r w:rsidRPr="00BD51BB">
        <w:t>successful</w:t>
      </w:r>
      <w:r w:rsidR="00AB6FA9" w:rsidRPr="00BD51BB">
        <w:t>ly</w:t>
      </w:r>
      <w:r w:rsidRPr="00BD51BB">
        <w:t xml:space="preserve"> rece</w:t>
      </w:r>
      <w:r w:rsidR="00AB6FA9" w:rsidRPr="00BD51BB">
        <w:t>ive the additional preamble format.</w:t>
      </w:r>
      <w:bookmarkEnd w:id="33"/>
    </w:p>
    <w:p w14:paraId="0C1027BE" w14:textId="56CB34A1" w:rsidR="00B8752F" w:rsidRPr="00BD51BB" w:rsidRDefault="00AB6FA9" w:rsidP="0067726E">
      <w:pPr>
        <w:pStyle w:val="Observation"/>
      </w:pPr>
      <w:bookmarkStart w:id="34" w:name="_Toc197714067"/>
      <w:r w:rsidRPr="00BD51BB">
        <w:t>A too high PRACH preamble transmit power may cause</w:t>
      </w:r>
      <w:r w:rsidR="0067726E" w:rsidRPr="00BD51BB">
        <w:t xml:space="preserve"> </w:t>
      </w:r>
      <w:r w:rsidR="00A93F0E" w:rsidRPr="00BD51BB">
        <w:t>gNB saturation</w:t>
      </w:r>
      <w:r w:rsidRPr="00BD51BB">
        <w:t xml:space="preserve"> and</w:t>
      </w:r>
      <w:r w:rsidR="00A93F0E" w:rsidRPr="00BD51BB">
        <w:t xml:space="preserve"> </w:t>
      </w:r>
      <w:r w:rsidRPr="00BD51BB">
        <w:t xml:space="preserve">excessive </w:t>
      </w:r>
      <w:r w:rsidR="0067726E" w:rsidRPr="00BD51BB">
        <w:t>UE-to-UE interference</w:t>
      </w:r>
      <w:r w:rsidR="00A93F0E" w:rsidRPr="00BD51BB">
        <w:t xml:space="preserve"> or inter</w:t>
      </w:r>
      <w:r w:rsidR="00672837">
        <w:t>-</w:t>
      </w:r>
      <w:r w:rsidR="00A93F0E" w:rsidRPr="00BD51BB">
        <w:t>cell PRACH preamble interference</w:t>
      </w:r>
      <w:r w:rsidR="00B8752F" w:rsidRPr="00BD51BB">
        <w:t>.</w:t>
      </w:r>
      <w:bookmarkEnd w:id="34"/>
    </w:p>
    <w:p w14:paraId="62D16057" w14:textId="77777777" w:rsidR="00B8752F" w:rsidRPr="00BD51BB" w:rsidRDefault="00B8752F" w:rsidP="0067726E">
      <w:pPr>
        <w:pStyle w:val="Proposal"/>
      </w:pPr>
      <w:bookmarkStart w:id="35" w:name="_Toc197714074"/>
      <w:r w:rsidRPr="00BD51BB">
        <w:t>Reset the power ramping counter (Alt. 2) when switching from legacy ROs to additional ROs [for Option 2].</w:t>
      </w:r>
      <w:bookmarkEnd w:id="35"/>
    </w:p>
    <w:p w14:paraId="62D8B582" w14:textId="1F42DAA8" w:rsidR="00B8752F" w:rsidRDefault="00B8752F" w:rsidP="00B8752F">
      <w:pPr>
        <w:pStyle w:val="Heading2"/>
        <w:rPr>
          <w:lang w:val="en-US"/>
        </w:rPr>
      </w:pPr>
      <w:r w:rsidRPr="00BD51BB">
        <w:rPr>
          <w:lang w:val="en-US"/>
        </w:rPr>
        <w:t>Msg3 power control</w:t>
      </w:r>
    </w:p>
    <w:p w14:paraId="6B026052" w14:textId="3E888C6C" w:rsidR="00250CC5" w:rsidRPr="00250CC5" w:rsidRDefault="008E0F28" w:rsidP="00250CC5">
      <w:pPr>
        <w:rPr>
          <w:lang w:eastAsia="ja-JP"/>
        </w:rPr>
      </w:pPr>
      <w:r>
        <w:rPr>
          <w:lang w:eastAsia="ja-JP"/>
        </w:rPr>
        <w:t xml:space="preserve">RAN1 #120bis agreed on Msg3 PUSCH transmission power but left the discussion whether a separate </w:t>
      </w:r>
      <w:r w:rsidRPr="00672837">
        <w:rPr>
          <w:i/>
          <w:iCs/>
          <w:lang w:eastAsia="ja-JP"/>
        </w:rPr>
        <w:t>msg3-DeltaPreamble</w:t>
      </w:r>
      <w:r>
        <w:rPr>
          <w:lang w:eastAsia="ja-JP"/>
        </w:rPr>
        <w:t xml:space="preserve"> is needed for FFS </w:t>
      </w:r>
      <w:r>
        <w:rPr>
          <w:lang w:eastAsia="ja-JP"/>
        </w:rPr>
        <w:fldChar w:fldCharType="begin"/>
      </w:r>
      <w:r>
        <w:rPr>
          <w:lang w:eastAsia="ja-JP"/>
        </w:rPr>
        <w:instrText xml:space="preserve"> REF _Ref194086571 \n \h </w:instrText>
      </w:r>
      <w:r>
        <w:rPr>
          <w:lang w:eastAsia="ja-JP"/>
        </w:rPr>
      </w:r>
      <w:r>
        <w:rPr>
          <w:lang w:eastAsia="ja-JP"/>
        </w:rPr>
        <w:fldChar w:fldCharType="separate"/>
      </w:r>
      <w:r w:rsidR="009A067F">
        <w:rPr>
          <w:lang w:eastAsia="ja-JP"/>
        </w:rPr>
        <w:t>[2]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9E29D3" w:rsidRPr="00BD51BB" w14:paraId="73F8C427" w14:textId="77777777" w:rsidTr="009E29D3">
        <w:tc>
          <w:tcPr>
            <w:tcW w:w="9629" w:type="dxa"/>
          </w:tcPr>
          <w:p w14:paraId="280A22C4" w14:textId="77777777" w:rsidR="009E29D3" w:rsidRPr="00BD51BB" w:rsidRDefault="009E29D3" w:rsidP="0067726E">
            <w:pPr>
              <w:rPr>
                <w:rFonts w:ascii="Times New Roman" w:hAnsi="Times New Roman" w:cs="Times New Roman"/>
                <w:b/>
                <w:bCs/>
                <w:sz w:val="20"/>
                <w:szCs w:val="20"/>
              </w:rPr>
            </w:pPr>
            <w:r w:rsidRPr="00BD51BB">
              <w:rPr>
                <w:rFonts w:ascii="Times New Roman" w:hAnsi="Times New Roman" w:cs="Times New Roman"/>
                <w:b/>
                <w:bCs/>
                <w:sz w:val="20"/>
                <w:szCs w:val="20"/>
                <w:highlight w:val="green"/>
              </w:rPr>
              <w:t>Agreement</w:t>
            </w:r>
          </w:p>
          <w:p w14:paraId="27E47F43" w14:textId="77777777" w:rsidR="009E29D3" w:rsidRPr="00BD51BB" w:rsidRDefault="009E29D3" w:rsidP="0067726E">
            <w:pPr>
              <w:rPr>
                <w:rFonts w:ascii="Times New Roman" w:hAnsi="Times New Roman" w:cs="Times New Roman"/>
                <w:sz w:val="20"/>
                <w:szCs w:val="20"/>
              </w:rPr>
            </w:pPr>
            <w:r w:rsidRPr="00BD51BB">
              <w:rPr>
                <w:rFonts w:ascii="Times New Roman" w:hAnsi="Times New Roman" w:cs="Times New Roman"/>
                <w:sz w:val="20"/>
                <w:szCs w:val="20"/>
              </w:rPr>
              <w:t>For determination of the Msg3 PUSCH transmission power for RACH configuration Option 2:</w:t>
            </w:r>
          </w:p>
          <w:p w14:paraId="03F300D0" w14:textId="77777777" w:rsidR="009E29D3" w:rsidRPr="00BD51BB" w:rsidRDefault="009E29D3" w:rsidP="0067726E">
            <w:pPr>
              <w:pStyle w:val="ListParagraph"/>
              <w:numPr>
                <w:ilvl w:val="0"/>
                <w:numId w:val="26"/>
              </w:numPr>
              <w:rPr>
                <w:rFonts w:ascii="Times New Roman" w:hAnsi="Times New Roman" w:cs="Times New Roman"/>
                <w:sz w:val="20"/>
                <w:szCs w:val="18"/>
                <w:lang w:val="en-US"/>
              </w:rPr>
            </w:pPr>
            <w:proofErr w:type="spellStart"/>
            <w:r w:rsidRPr="00BD51BB">
              <w:rPr>
                <w:rFonts w:ascii="Times New Roman" w:hAnsi="Times New Roman" w:cs="Times New Roman"/>
                <w:i/>
                <w:iCs/>
                <w:sz w:val="20"/>
                <w:szCs w:val="18"/>
                <w:lang w:val="en-US"/>
              </w:rPr>
              <w:t>preambleReceivedTargetPower</w:t>
            </w:r>
            <w:proofErr w:type="spellEnd"/>
            <w:r w:rsidRPr="00BD51BB">
              <w:rPr>
                <w:rFonts w:ascii="Times New Roman" w:hAnsi="Times New Roman" w:cs="Times New Roman"/>
                <w:sz w:val="20"/>
                <w:szCs w:val="18"/>
                <w:lang w:val="en-US"/>
              </w:rPr>
              <w:t xml:space="preserve"> configured for legacy-RO is used if Msg3 PUSCH is transmitted in non-SBFD </w:t>
            </w:r>
            <w:proofErr w:type="gramStart"/>
            <w:r w:rsidRPr="00BD51BB">
              <w:rPr>
                <w:rFonts w:ascii="Times New Roman" w:hAnsi="Times New Roman" w:cs="Times New Roman"/>
                <w:sz w:val="20"/>
                <w:szCs w:val="18"/>
                <w:lang w:val="en-US"/>
              </w:rPr>
              <w:t>symbols;</w:t>
            </w:r>
            <w:proofErr w:type="gramEnd"/>
          </w:p>
          <w:p w14:paraId="1C72EC61" w14:textId="77777777" w:rsidR="009E29D3" w:rsidRPr="00BD51BB" w:rsidRDefault="009E29D3" w:rsidP="0067726E">
            <w:pPr>
              <w:pStyle w:val="ListParagraph"/>
              <w:numPr>
                <w:ilvl w:val="0"/>
                <w:numId w:val="26"/>
              </w:numPr>
              <w:rPr>
                <w:rFonts w:ascii="Times New Roman" w:hAnsi="Times New Roman" w:cs="Times New Roman"/>
                <w:sz w:val="20"/>
                <w:szCs w:val="18"/>
                <w:lang w:val="en-US"/>
              </w:rPr>
            </w:pPr>
            <w:bookmarkStart w:id="36" w:name="_Hlk196897040"/>
            <w:proofErr w:type="spellStart"/>
            <w:r w:rsidRPr="00BD51BB">
              <w:rPr>
                <w:rFonts w:ascii="Times New Roman" w:hAnsi="Times New Roman" w:cs="Times New Roman"/>
                <w:i/>
                <w:iCs/>
                <w:sz w:val="20"/>
                <w:szCs w:val="18"/>
                <w:lang w:val="en-US"/>
              </w:rPr>
              <w:t>preambleReceivedTargetPower</w:t>
            </w:r>
            <w:bookmarkEnd w:id="36"/>
            <w:proofErr w:type="spellEnd"/>
            <w:r w:rsidRPr="00BD51BB">
              <w:rPr>
                <w:rFonts w:ascii="Times New Roman" w:hAnsi="Times New Roman" w:cs="Times New Roman"/>
                <w:sz w:val="20"/>
                <w:szCs w:val="18"/>
                <w:lang w:val="en-US"/>
              </w:rPr>
              <w:t xml:space="preserve"> configured for additional-RO is used if Msg3 PUSCH is transmitted in SBFD </w:t>
            </w:r>
            <w:proofErr w:type="gramStart"/>
            <w:r w:rsidRPr="00BD51BB">
              <w:rPr>
                <w:rFonts w:ascii="Times New Roman" w:hAnsi="Times New Roman" w:cs="Times New Roman"/>
                <w:sz w:val="20"/>
                <w:szCs w:val="18"/>
                <w:lang w:val="en-US"/>
              </w:rPr>
              <w:t>symbols;</w:t>
            </w:r>
            <w:proofErr w:type="gramEnd"/>
          </w:p>
          <w:p w14:paraId="7A3C3CE3" w14:textId="6C28BF03" w:rsidR="009E29D3" w:rsidRPr="00BD51BB" w:rsidRDefault="009E29D3" w:rsidP="00326885">
            <w:pPr>
              <w:pStyle w:val="ListParagraph"/>
              <w:numPr>
                <w:ilvl w:val="0"/>
                <w:numId w:val="26"/>
              </w:numPr>
              <w:spacing w:after="240"/>
              <w:rPr>
                <w:lang w:val="en-US"/>
              </w:rPr>
            </w:pPr>
            <w:r w:rsidRPr="00BD51BB">
              <w:rPr>
                <w:rFonts w:ascii="Times New Roman" w:hAnsi="Times New Roman" w:cs="Times New Roman"/>
                <w:sz w:val="20"/>
                <w:szCs w:val="18"/>
                <w:lang w:val="en-US"/>
              </w:rPr>
              <w:t>FFS whether/how to support separate</w:t>
            </w:r>
            <w:r w:rsidRPr="00BD51BB">
              <w:rPr>
                <w:rFonts w:ascii="Times New Roman" w:hAnsi="Times New Roman" w:cs="Times New Roman"/>
                <w:i/>
                <w:iCs/>
                <w:sz w:val="20"/>
                <w:szCs w:val="18"/>
                <w:lang w:val="en-US"/>
              </w:rPr>
              <w:t xml:space="preserve"> msg3-DeltaPreamble</w:t>
            </w:r>
            <w:r w:rsidRPr="00BD51BB">
              <w:rPr>
                <w:rFonts w:ascii="Times New Roman" w:hAnsi="Times New Roman" w:cs="Times New Roman"/>
                <w:sz w:val="20"/>
                <w:szCs w:val="18"/>
                <w:lang w:val="en-US"/>
              </w:rPr>
              <w:t xml:space="preserve"> for non-SBFD symbols and SBFD-symbols.</w:t>
            </w:r>
          </w:p>
        </w:tc>
      </w:tr>
    </w:tbl>
    <w:p w14:paraId="7C1090FF" w14:textId="77777777" w:rsidR="009E29D3" w:rsidRPr="00BD51BB" w:rsidRDefault="009E29D3" w:rsidP="0067726E"/>
    <w:p w14:paraId="6395D15E" w14:textId="2D881FF0" w:rsidR="0044289D" w:rsidRPr="00BD51BB" w:rsidRDefault="0044289D" w:rsidP="0067726E">
      <w:r w:rsidRPr="00BD51BB">
        <w:t xml:space="preserve">The purpose with msg3-DeltaPreamble is to relate a suitable PRACH preamble transmission power with a suitable Msg3 transmission power. With the understanding that </w:t>
      </w:r>
      <w:proofErr w:type="spellStart"/>
      <w:r w:rsidRPr="00BD51BB">
        <w:rPr>
          <w:i/>
          <w:iCs/>
        </w:rPr>
        <w:t>preambleReceivedTargetPower</w:t>
      </w:r>
      <w:proofErr w:type="spellEnd"/>
      <w:r w:rsidRPr="00BD51BB">
        <w:t xml:space="preserve"> is a normalized preamble power level, adjusted by </w:t>
      </w:r>
      <w:proofErr w:type="spellStart"/>
      <w:r w:rsidRPr="00BD51BB">
        <w:rPr>
          <w:i/>
          <w:iCs/>
        </w:rPr>
        <w:t>deltaPreabmble</w:t>
      </w:r>
      <w:proofErr w:type="spellEnd"/>
      <w:r w:rsidRPr="00BD51BB">
        <w:t xml:space="preserve"> for an individual preamble format, </w:t>
      </w:r>
      <w:r w:rsidR="003D118D" w:rsidRPr="00BD51BB">
        <w:t xml:space="preserve">the difference between </w:t>
      </w:r>
      <w:proofErr w:type="spellStart"/>
      <w:r w:rsidR="003D118D" w:rsidRPr="00BD51BB">
        <w:rPr>
          <w:i/>
          <w:iCs/>
        </w:rPr>
        <w:t>preambleReceivedTargetPower</w:t>
      </w:r>
      <w:proofErr w:type="spellEnd"/>
      <w:r w:rsidR="003D118D" w:rsidRPr="00BD51BB">
        <w:t xml:space="preserve"> and </w:t>
      </w:r>
      <w:proofErr w:type="spellStart"/>
      <w:r w:rsidR="003D118D" w:rsidRPr="00BD51BB">
        <w:rPr>
          <w:i/>
          <w:iCs/>
        </w:rPr>
        <w:t>preambleReceivedTargetPower</w:t>
      </w:r>
      <w:proofErr w:type="spellEnd"/>
      <w:r w:rsidR="003D118D" w:rsidRPr="00BD51BB">
        <w:rPr>
          <w:i/>
          <w:iCs/>
        </w:rPr>
        <w:t>-SBFD</w:t>
      </w:r>
      <w:r w:rsidR="003D118D" w:rsidRPr="00BD51BB">
        <w:t xml:space="preserve"> corresponds to the difference in expected SINR for SBFD and UL symbols, </w:t>
      </w:r>
      <w:r w:rsidR="003D118D" w:rsidRPr="00BD51BB">
        <w:rPr>
          <w:rFonts w:ascii="Cambria" w:hAnsi="Cambria"/>
        </w:rPr>
        <w:t>Δ</w:t>
      </w:r>
      <w:r w:rsidR="003D118D" w:rsidRPr="00BD51BB">
        <w:rPr>
          <w:vertAlign w:val="subscript"/>
        </w:rPr>
        <w:t>SINR</w:t>
      </w:r>
      <w:r w:rsidR="003D118D" w:rsidRPr="00BD51BB">
        <w:t xml:space="preserve"> in </w:t>
      </w:r>
      <w:r w:rsidR="003D118D" w:rsidRPr="00BD51BB">
        <w:fldChar w:fldCharType="begin"/>
      </w:r>
      <w:r w:rsidR="003D118D" w:rsidRPr="00BD51BB">
        <w:instrText xml:space="preserve"> REF _Ref196898795 \h </w:instrText>
      </w:r>
      <w:r w:rsidR="003D118D" w:rsidRPr="00BD51BB">
        <w:fldChar w:fldCharType="separate"/>
      </w:r>
      <w:r w:rsidR="009A067F" w:rsidRPr="00BD51BB">
        <w:t xml:space="preserve">Figure </w:t>
      </w:r>
      <w:r w:rsidR="009A067F">
        <w:rPr>
          <w:noProof/>
        </w:rPr>
        <w:t>3</w:t>
      </w:r>
      <w:r w:rsidR="003D118D" w:rsidRPr="00BD51BB">
        <w:fldChar w:fldCharType="end"/>
      </w:r>
      <w:r w:rsidR="003D118D" w:rsidRPr="00BD51BB">
        <w:t xml:space="preserve">, independent of the preamble processing gain. The same </w:t>
      </w:r>
      <w:r w:rsidR="003D118D" w:rsidRPr="00BD51BB">
        <w:rPr>
          <w:rFonts w:ascii="Cambria" w:hAnsi="Cambria"/>
        </w:rPr>
        <w:t>Δ</w:t>
      </w:r>
      <w:r w:rsidR="003D118D" w:rsidRPr="00BD51BB">
        <w:rPr>
          <w:vertAlign w:val="subscript"/>
        </w:rPr>
        <w:t>SINR</w:t>
      </w:r>
      <w:r w:rsidR="003D118D" w:rsidRPr="00BD51BB">
        <w:t xml:space="preserve"> can be expected to be valid also for Msg3 transmissions, for which reason </w:t>
      </w:r>
      <w:r w:rsidRPr="00BD51BB">
        <w:t>the</w:t>
      </w:r>
      <w:r w:rsidR="003D118D" w:rsidRPr="00BD51BB">
        <w:t xml:space="preserve"> same </w:t>
      </w:r>
      <w:r w:rsidR="003D118D" w:rsidRPr="00BD51BB">
        <w:rPr>
          <w:i/>
          <w:iCs/>
        </w:rPr>
        <w:t>msg3DeltaPreamble</w:t>
      </w:r>
      <w:r w:rsidR="003D118D" w:rsidRPr="00BD51BB">
        <w:t xml:space="preserve"> can be used for both the legacy and additional RACH configurations.</w:t>
      </w:r>
    </w:p>
    <w:p w14:paraId="1EBD20B3" w14:textId="2117A438" w:rsidR="003D118D" w:rsidRPr="00BD51BB" w:rsidRDefault="00F222A4" w:rsidP="00F222A4">
      <w:pPr>
        <w:keepNext/>
        <w:jc w:val="center"/>
      </w:pPr>
      <w:r w:rsidRPr="00BD51BB">
        <w:object w:dxaOrig="7816" w:dyaOrig="3286" w14:anchorId="67AC7067">
          <v:shape id="_x0000_i1026" type="#_x0000_t75" style="width:312.2pt;height:131.35pt" o:ole="">
            <v:imagedata r:id="rId11" o:title=""/>
          </v:shape>
          <o:OLEObject Type="Embed" ProgID="Visio.Drawing.15" ShapeID="_x0000_i1026" DrawAspect="Content" ObjectID="_1808326926" r:id="rId12"/>
        </w:object>
      </w:r>
    </w:p>
    <w:p w14:paraId="1CD5F79B" w14:textId="215DE06C" w:rsidR="003D118D" w:rsidRPr="00BD51BB" w:rsidRDefault="003D118D" w:rsidP="003D118D">
      <w:pPr>
        <w:pStyle w:val="Caption"/>
      </w:pPr>
      <w:bookmarkStart w:id="37" w:name="_Ref196898795"/>
      <w:r w:rsidRPr="00BD51BB">
        <w:t xml:space="preserve">Figure </w:t>
      </w:r>
      <w:r w:rsidRPr="00BD51BB">
        <w:fldChar w:fldCharType="begin"/>
      </w:r>
      <w:r w:rsidRPr="00BD51BB">
        <w:instrText xml:space="preserve"> SEQ Figure \* ARABIC </w:instrText>
      </w:r>
      <w:r w:rsidRPr="00BD51BB">
        <w:fldChar w:fldCharType="separate"/>
      </w:r>
      <w:r w:rsidR="009A067F">
        <w:rPr>
          <w:noProof/>
        </w:rPr>
        <w:t>3</w:t>
      </w:r>
      <w:r w:rsidRPr="00BD51BB">
        <w:fldChar w:fldCharType="end"/>
      </w:r>
      <w:bookmarkEnd w:id="37"/>
      <w:r w:rsidRPr="00BD51BB">
        <w:t xml:space="preserve">: Simplified power relations between </w:t>
      </w:r>
      <w:proofErr w:type="spellStart"/>
      <w:r w:rsidRPr="00BD51BB">
        <w:rPr>
          <w:i/>
          <w:iCs/>
        </w:rPr>
        <w:t>preambleReceivedTargetPower</w:t>
      </w:r>
      <w:proofErr w:type="spellEnd"/>
      <w:r w:rsidRPr="00BD51BB">
        <w:t xml:space="preserve"> and Msg3 transmit power.</w:t>
      </w:r>
    </w:p>
    <w:p w14:paraId="570238AF" w14:textId="36CCA89B" w:rsidR="00303C16" w:rsidRPr="00BD51BB" w:rsidRDefault="0044289D" w:rsidP="00326885">
      <w:pPr>
        <w:pStyle w:val="Proposal"/>
      </w:pPr>
      <w:bookmarkStart w:id="38" w:name="_Toc197714075"/>
      <w:r w:rsidRPr="00BD51BB">
        <w:t>N</w:t>
      </w:r>
      <w:r w:rsidR="009E29D3" w:rsidRPr="00BD51BB">
        <w:t xml:space="preserve">o separate </w:t>
      </w:r>
      <w:r w:rsidR="009E29D3" w:rsidRPr="00BD51BB">
        <w:rPr>
          <w:i/>
          <w:iCs/>
        </w:rPr>
        <w:t>msg3-DeltaPreamble</w:t>
      </w:r>
      <w:r w:rsidRPr="00BD51BB">
        <w:rPr>
          <w:i/>
          <w:iCs/>
        </w:rPr>
        <w:t>-SBFD</w:t>
      </w:r>
      <w:r w:rsidR="009E29D3" w:rsidRPr="00BD51BB">
        <w:t xml:space="preserve"> </w:t>
      </w:r>
      <w:r w:rsidR="00303C16" w:rsidRPr="00BD51BB">
        <w:t>i</w:t>
      </w:r>
      <w:r w:rsidRPr="00BD51BB">
        <w:t xml:space="preserve">s specified for </w:t>
      </w:r>
      <w:r w:rsidR="00303C16" w:rsidRPr="00BD51BB">
        <w:t>Msg3 power control</w:t>
      </w:r>
      <w:r w:rsidR="009E29D3" w:rsidRPr="00BD51BB">
        <w:t>.</w:t>
      </w:r>
      <w:bookmarkEnd w:id="38"/>
    </w:p>
    <w:p w14:paraId="14359FE7" w14:textId="735C46B6" w:rsidR="00714B4E" w:rsidRPr="00BD51BB" w:rsidRDefault="004463A0" w:rsidP="0067726E">
      <w:r w:rsidRPr="00BD51BB">
        <w:t xml:space="preserve">In a related topic, RAN1 agreed that the </w:t>
      </w:r>
      <w:proofErr w:type="spellStart"/>
      <w:r w:rsidRPr="00BD51BB">
        <w:rPr>
          <w:rFonts w:ascii="Cambria" w:hAnsi="Cambria"/>
          <w:i/>
          <w:iCs/>
        </w:rPr>
        <w:t>Δ</w:t>
      </w:r>
      <w:r w:rsidRPr="00BD51BB">
        <w:rPr>
          <w:i/>
          <w:iCs/>
        </w:rPr>
        <w:t>P</w:t>
      </w:r>
      <w:r w:rsidRPr="00BD51BB">
        <w:rPr>
          <w:i/>
          <w:iCs/>
          <w:vertAlign w:val="subscript"/>
        </w:rPr>
        <w:t>rampup_requested,b,f,c</w:t>
      </w:r>
      <w:proofErr w:type="spellEnd"/>
      <w:r w:rsidRPr="00BD51BB">
        <w:t xml:space="preserve"> provided by the MAC layer is the amount of power ramping applied to the latest Random Access Preamble transmission, regardless of the used RO types and symbol type of Msg3 PUSCH</w:t>
      </w:r>
      <w:r w:rsidR="00F265EF">
        <w:t> </w:t>
      </w:r>
      <w:r w:rsidR="00F265EF">
        <w:fldChar w:fldCharType="begin"/>
      </w:r>
      <w:r w:rsidR="00F265EF">
        <w:instrText xml:space="preserve"> REF _Ref194086571 \n \h </w:instrText>
      </w:r>
      <w:r w:rsidR="00F265EF">
        <w:fldChar w:fldCharType="separate"/>
      </w:r>
      <w:r w:rsidR="009A067F">
        <w:t>[2]</w:t>
      </w:r>
      <w:r w:rsidR="00F265EF">
        <w:fldChar w:fldCharType="end"/>
      </w:r>
      <w:r w:rsidRPr="00BD51BB">
        <w:t>.</w:t>
      </w:r>
    </w:p>
    <w:tbl>
      <w:tblPr>
        <w:tblStyle w:val="TableGrid"/>
        <w:tblW w:w="0" w:type="auto"/>
        <w:tblLook w:val="04A0" w:firstRow="1" w:lastRow="0" w:firstColumn="1" w:lastColumn="0" w:noHBand="0" w:noVBand="1"/>
      </w:tblPr>
      <w:tblGrid>
        <w:gridCol w:w="9629"/>
      </w:tblGrid>
      <w:tr w:rsidR="00247CA3" w:rsidRPr="00BD51BB" w14:paraId="4ABEFB5A" w14:textId="77777777" w:rsidTr="00247CA3">
        <w:tc>
          <w:tcPr>
            <w:tcW w:w="9629" w:type="dxa"/>
          </w:tcPr>
          <w:p w14:paraId="2324E906" w14:textId="77777777" w:rsidR="00247CA3" w:rsidRPr="00BD51BB" w:rsidRDefault="00247CA3" w:rsidP="0067726E">
            <w:pPr>
              <w:rPr>
                <w:rFonts w:ascii="Times New Roman" w:hAnsi="Times New Roman" w:cs="Times New Roman"/>
                <w:b/>
                <w:bCs/>
                <w:sz w:val="20"/>
                <w:szCs w:val="20"/>
              </w:rPr>
            </w:pPr>
            <w:r w:rsidRPr="00BD51BB">
              <w:rPr>
                <w:rFonts w:ascii="Times New Roman" w:hAnsi="Times New Roman" w:cs="Times New Roman"/>
                <w:b/>
                <w:bCs/>
                <w:sz w:val="20"/>
                <w:szCs w:val="20"/>
                <w:highlight w:val="green"/>
              </w:rPr>
              <w:t>Agreement</w:t>
            </w:r>
          </w:p>
          <w:p w14:paraId="5A0C5595" w14:textId="77777777" w:rsidR="00247CA3" w:rsidRPr="00BD51BB" w:rsidRDefault="00247CA3" w:rsidP="0067726E">
            <w:pPr>
              <w:pStyle w:val="ListParagraph"/>
              <w:rPr>
                <w:rFonts w:ascii="Times New Roman" w:hAnsi="Times New Roman" w:cs="Times New Roman"/>
                <w:sz w:val="20"/>
                <w:szCs w:val="18"/>
                <w:lang w:val="en-US"/>
              </w:rPr>
            </w:pPr>
            <w:r w:rsidRPr="00BD51BB">
              <w:rPr>
                <w:rFonts w:ascii="Times New Roman" w:hAnsi="Times New Roman" w:cs="Times New Roman"/>
                <w:sz w:val="20"/>
                <w:szCs w:val="18"/>
                <w:lang w:val="en-US"/>
              </w:rPr>
              <w:t xml:space="preserve">For determination of Msg3 PUSCH transmission power, </w:t>
            </w:r>
            <m:oMath>
              <m:r>
                <w:rPr>
                  <w:rFonts w:ascii="Cambria Math" w:hAnsi="Cambria Math" w:cs="Times New Roman"/>
                  <w:sz w:val="20"/>
                  <w:szCs w:val="18"/>
                  <w:lang w:val="en-US"/>
                </w:rPr>
                <m:t>∆</m:t>
              </m:r>
              <m:sSub>
                <m:sSubPr>
                  <m:ctrlPr>
                    <w:rPr>
                      <w:rFonts w:ascii="Cambria Math" w:hAnsi="Cambria Math" w:cs="Times New Roman"/>
                      <w:i/>
                      <w:sz w:val="20"/>
                      <w:szCs w:val="18"/>
                      <w:lang w:val="en-US"/>
                    </w:rPr>
                  </m:ctrlPr>
                </m:sSubPr>
                <m:e>
                  <m:r>
                    <w:rPr>
                      <w:rFonts w:ascii="Cambria Math" w:hAnsi="Cambria Math" w:cs="Times New Roman"/>
                      <w:sz w:val="20"/>
                      <w:szCs w:val="18"/>
                      <w:lang w:val="en-US"/>
                    </w:rPr>
                    <m:t>P</m:t>
                  </m:r>
                </m:e>
                <m:sub>
                  <m:r>
                    <m:rPr>
                      <m:sty m:val="p"/>
                    </m:rPr>
                    <w:rPr>
                      <w:rFonts w:ascii="Cambria Math" w:hAnsi="Cambria Math" w:cs="Times New Roman"/>
                      <w:sz w:val="20"/>
                      <w:szCs w:val="18"/>
                      <w:lang w:val="en-US"/>
                    </w:rPr>
                    <m:t>rampup_requested</m:t>
                  </m:r>
                  <m:r>
                    <w:rPr>
                      <w:rFonts w:ascii="Cambria Math" w:hAnsi="Cambria Math" w:cs="Times New Roman"/>
                      <w:sz w:val="20"/>
                      <w:szCs w:val="18"/>
                      <w:lang w:val="en-US"/>
                    </w:rPr>
                    <m:t>,b,f,c</m:t>
                  </m:r>
                </m:sub>
              </m:sSub>
            </m:oMath>
            <w:r w:rsidRPr="00BD51BB">
              <w:rPr>
                <w:rFonts w:ascii="Times New Roman" w:hAnsi="Times New Roman" w:cs="Times New Roman"/>
                <w:sz w:val="20"/>
                <w:szCs w:val="18"/>
                <w:lang w:val="en-US"/>
              </w:rPr>
              <w:t xml:space="preserve"> is provided by MAC layer and is the amount of power ramping applied to the latest Random Access Preamble transmission, regardless of the used RO types and symbol type of Msg3 PUSCH.</w:t>
            </w:r>
          </w:p>
          <w:p w14:paraId="263C1D22" w14:textId="77777777" w:rsidR="00247CA3" w:rsidRPr="00BD51BB" w:rsidRDefault="00247CA3" w:rsidP="0067726E">
            <w:pPr>
              <w:pStyle w:val="ListParagraph"/>
              <w:rPr>
                <w:rFonts w:ascii="Times New Roman" w:hAnsi="Times New Roman" w:cs="Times New Roman"/>
                <w:sz w:val="20"/>
                <w:szCs w:val="18"/>
                <w:lang w:val="en-US"/>
              </w:rPr>
            </w:pPr>
            <w:r w:rsidRPr="00BD51BB">
              <w:rPr>
                <w:rFonts w:ascii="Times New Roman" w:hAnsi="Times New Roman" w:cs="Times New Roman"/>
                <w:sz w:val="20"/>
                <w:szCs w:val="18"/>
                <w:lang w:val="en-US"/>
              </w:rPr>
              <w:t xml:space="preserve">FFS: For RACH configuration Option 2, interpretation of </w:t>
            </w:r>
            <m:oMath>
              <m:r>
                <w:rPr>
                  <w:rFonts w:ascii="Cambria Math" w:hAnsi="Cambria Math" w:cs="Times New Roman"/>
                  <w:sz w:val="20"/>
                  <w:szCs w:val="18"/>
                  <w:lang w:val="en-US"/>
                </w:rPr>
                <m:t>∆</m:t>
              </m:r>
              <m:sSub>
                <m:sSubPr>
                  <m:ctrlPr>
                    <w:rPr>
                      <w:rFonts w:ascii="Cambria Math" w:hAnsi="Cambria Math" w:cs="Times New Roman"/>
                      <w:i/>
                      <w:sz w:val="20"/>
                      <w:szCs w:val="18"/>
                      <w:lang w:val="en-US"/>
                    </w:rPr>
                  </m:ctrlPr>
                </m:sSubPr>
                <m:e>
                  <m:r>
                    <w:rPr>
                      <w:rFonts w:ascii="Cambria Math" w:hAnsi="Cambria Math" w:cs="Times New Roman"/>
                      <w:sz w:val="20"/>
                      <w:szCs w:val="18"/>
                      <w:lang w:val="en-US"/>
                    </w:rPr>
                    <m:t>P</m:t>
                  </m:r>
                </m:e>
                <m:sub>
                  <m:r>
                    <m:rPr>
                      <m:sty m:val="p"/>
                    </m:rPr>
                    <w:rPr>
                      <w:rFonts w:ascii="Cambria Math" w:hAnsi="Cambria Math" w:cs="Times New Roman"/>
                      <w:sz w:val="20"/>
                      <w:szCs w:val="18"/>
                      <w:lang w:val="en-US"/>
                    </w:rPr>
                    <m:t>rampup_requested</m:t>
                  </m:r>
                  <m:r>
                    <w:rPr>
                      <w:rFonts w:ascii="Cambria Math" w:hAnsi="Cambria Math" w:cs="Times New Roman"/>
                      <w:sz w:val="20"/>
                      <w:szCs w:val="18"/>
                      <w:lang w:val="en-US"/>
                    </w:rPr>
                    <m:t>,b,f,c</m:t>
                  </m:r>
                </m:sub>
              </m:sSub>
            </m:oMath>
            <w:r w:rsidRPr="00BD51BB">
              <w:rPr>
                <w:rFonts w:ascii="Times New Roman" w:hAnsi="Times New Roman" w:cs="Times New Roman"/>
                <w:sz w:val="20"/>
                <w:szCs w:val="18"/>
                <w:lang w:val="en-US"/>
              </w:rPr>
              <w:t xml:space="preserve"> when separate </w:t>
            </w:r>
            <w:r w:rsidRPr="00BD51BB">
              <w:rPr>
                <w:rFonts w:ascii="Times New Roman" w:hAnsi="Times New Roman" w:cs="Times New Roman"/>
                <w:i/>
                <w:sz w:val="20"/>
                <w:szCs w:val="18"/>
                <w:lang w:val="en-US"/>
              </w:rPr>
              <w:t>PREAMBLE_POWER_RAMPING_STEP</w:t>
            </w:r>
            <w:r w:rsidRPr="00BD51BB">
              <w:rPr>
                <w:rFonts w:ascii="Times New Roman" w:hAnsi="Times New Roman" w:cs="Times New Roman"/>
                <w:iCs/>
                <w:sz w:val="20"/>
                <w:szCs w:val="18"/>
                <w:lang w:val="en-US"/>
              </w:rPr>
              <w:t xml:space="preserve"> </w:t>
            </w:r>
            <w:r w:rsidRPr="00BD51BB">
              <w:rPr>
                <w:rFonts w:ascii="Times New Roman" w:hAnsi="Times New Roman" w:cs="Times New Roman"/>
                <w:sz w:val="20"/>
                <w:szCs w:val="18"/>
                <w:lang w:val="en-US"/>
              </w:rPr>
              <w:t>configurations for different RO types when UE switches from additional-ROs to legacy-ROs.</w:t>
            </w:r>
          </w:p>
          <w:p w14:paraId="2122AFCC" w14:textId="63053491" w:rsidR="00247CA3" w:rsidRPr="00BD51BB" w:rsidRDefault="00247CA3" w:rsidP="0067726E">
            <w:pPr>
              <w:pStyle w:val="ListParagraph"/>
              <w:numPr>
                <w:ilvl w:val="1"/>
                <w:numId w:val="27"/>
              </w:numPr>
              <w:rPr>
                <w:lang w:val="en-US"/>
              </w:rPr>
            </w:pPr>
            <w:r w:rsidRPr="00BD51BB">
              <w:rPr>
                <w:rFonts w:ascii="Times New Roman" w:hAnsi="Times New Roman" w:cs="Times New Roman"/>
                <w:sz w:val="20"/>
                <w:szCs w:val="18"/>
                <w:lang w:val="en-US"/>
              </w:rPr>
              <w:t xml:space="preserve">This does not imply that separate </w:t>
            </w:r>
            <w:r w:rsidRPr="00BD51BB">
              <w:rPr>
                <w:rFonts w:ascii="Times New Roman" w:hAnsi="Times New Roman" w:cs="Times New Roman"/>
                <w:i/>
                <w:sz w:val="20"/>
                <w:szCs w:val="18"/>
                <w:lang w:val="en-US"/>
              </w:rPr>
              <w:t>PREAMBLE_POWER_RAMPING_STEP</w:t>
            </w:r>
            <w:r w:rsidRPr="00BD51BB">
              <w:rPr>
                <w:rFonts w:ascii="Times New Roman" w:hAnsi="Times New Roman" w:cs="Times New Roman"/>
                <w:iCs/>
                <w:sz w:val="20"/>
                <w:szCs w:val="18"/>
                <w:lang w:val="en-US"/>
              </w:rPr>
              <w:t xml:space="preserve"> </w:t>
            </w:r>
            <w:r w:rsidRPr="00BD51BB">
              <w:rPr>
                <w:rFonts w:ascii="Times New Roman" w:hAnsi="Times New Roman" w:cs="Times New Roman"/>
                <w:sz w:val="20"/>
                <w:szCs w:val="18"/>
                <w:lang w:val="en-US"/>
              </w:rPr>
              <w:t>configurations are supported</w:t>
            </w:r>
          </w:p>
        </w:tc>
      </w:tr>
    </w:tbl>
    <w:p w14:paraId="18A0E36A" w14:textId="77777777" w:rsidR="00714B4E" w:rsidRPr="00BD51BB" w:rsidRDefault="00714B4E" w:rsidP="0067726E"/>
    <w:p w14:paraId="6BD20F5B" w14:textId="56EFEE36" w:rsidR="004463A0" w:rsidRPr="00BD51BB" w:rsidRDefault="004463A0" w:rsidP="0067726E">
      <w:r w:rsidRPr="00BD51BB">
        <w:t>For Option 2, th</w:t>
      </w:r>
      <w:r w:rsidR="00AB1827" w:rsidRPr="00BD51BB">
        <w:t>e above agreement introduces an ambiguity, si</w:t>
      </w:r>
      <w:r w:rsidRPr="00BD51BB">
        <w:t xml:space="preserve">nce, in case </w:t>
      </w:r>
      <w:r w:rsidRPr="00BD51BB">
        <w:rPr>
          <w:rFonts w:cs="Arial"/>
        </w:rPr>
        <w:t xml:space="preserve">the </w:t>
      </w:r>
      <w:r w:rsidRPr="00BD51BB">
        <w:rPr>
          <w:rFonts w:cs="Arial"/>
          <w:i/>
          <w:szCs w:val="18"/>
        </w:rPr>
        <w:t>PREAMBLE_POWER_RAMPING_STEP</w:t>
      </w:r>
      <w:r w:rsidRPr="00BD51BB">
        <w:rPr>
          <w:rFonts w:cs="Arial"/>
          <w:iCs/>
          <w:szCs w:val="18"/>
        </w:rPr>
        <w:t xml:space="preserve"> differs between the two RACH configurations, </w:t>
      </w:r>
      <w:proofErr w:type="spellStart"/>
      <w:r w:rsidRPr="00BD51BB">
        <w:rPr>
          <w:rFonts w:ascii="Cambria" w:hAnsi="Cambria"/>
          <w:i/>
          <w:iCs/>
        </w:rPr>
        <w:t>Δ</w:t>
      </w:r>
      <w:r w:rsidRPr="00BD51BB">
        <w:rPr>
          <w:i/>
          <w:iCs/>
        </w:rPr>
        <w:t>P</w:t>
      </w:r>
      <w:r w:rsidRPr="00BD51BB">
        <w:rPr>
          <w:i/>
          <w:iCs/>
          <w:vertAlign w:val="subscript"/>
        </w:rPr>
        <w:t>rampup_</w:t>
      </w:r>
      <w:proofErr w:type="gramStart"/>
      <w:r w:rsidRPr="00BD51BB">
        <w:rPr>
          <w:i/>
          <w:iCs/>
          <w:vertAlign w:val="subscript"/>
        </w:rPr>
        <w:t>requested,b</w:t>
      </w:r>
      <w:proofErr w:type="gramEnd"/>
      <w:r w:rsidRPr="00BD51BB">
        <w:rPr>
          <w:i/>
          <w:iCs/>
          <w:vertAlign w:val="subscript"/>
        </w:rPr>
        <w:t>,f,c</w:t>
      </w:r>
      <w:proofErr w:type="spellEnd"/>
      <w:r w:rsidRPr="00BD51BB">
        <w:t xml:space="preserve"> will deviate from the </w:t>
      </w:r>
      <w:r w:rsidR="00AB1827" w:rsidRPr="00BD51BB">
        <w:t xml:space="preserve">power ramping determined from using the </w:t>
      </w:r>
      <w:r w:rsidR="00AB1827" w:rsidRPr="00BD51BB">
        <w:rPr>
          <w:i/>
          <w:iCs/>
        </w:rPr>
        <w:t>PREAMBLE_POWER_RAMPING_COUNTER</w:t>
      </w:r>
      <w:r w:rsidR="00AB1827" w:rsidRPr="00BD51BB">
        <w:t xml:space="preserve">, i.e., </w:t>
      </w:r>
    </w:p>
    <w:p w14:paraId="21081A5D" w14:textId="56739F23" w:rsidR="00AB1827" w:rsidRPr="00BD51BB" w:rsidRDefault="00AB1827" w:rsidP="0067726E">
      <w:pPr>
        <w:rPr>
          <w:rFonts w:eastAsiaTheme="minorEastAsia"/>
          <w:iCs/>
          <w:szCs w:val="20"/>
        </w:rPr>
      </w:pPr>
      <m:oMathPara>
        <m:oMath>
          <m:r>
            <w:rPr>
              <w:rFonts w:ascii="Cambria Math" w:hAnsi="Cambria Math" w:cs="Times New Roman"/>
              <w:szCs w:val="18"/>
            </w:rPr>
            <m:t>∆</m:t>
          </m:r>
          <m:sSub>
            <m:sSubPr>
              <m:ctrlPr>
                <w:rPr>
                  <w:rFonts w:ascii="Cambria Math" w:hAnsi="Cambria Math" w:cs="Times New Roman"/>
                  <w:i/>
                  <w:szCs w:val="18"/>
                </w:rPr>
              </m:ctrlPr>
            </m:sSubPr>
            <m:e>
              <m:r>
                <w:rPr>
                  <w:rFonts w:ascii="Cambria Math" w:hAnsi="Cambria Math" w:cs="Times New Roman"/>
                  <w:szCs w:val="18"/>
                </w:rPr>
                <m:t>P</m:t>
              </m:r>
            </m:e>
            <m:sub>
              <m:r>
                <m:rPr>
                  <m:sty m:val="p"/>
                </m:rPr>
                <w:rPr>
                  <w:rFonts w:ascii="Cambria Math" w:hAnsi="Cambria Math" w:cs="Times New Roman"/>
                  <w:szCs w:val="18"/>
                </w:rPr>
                <m:t>rampup_requested</m:t>
              </m:r>
              <m:r>
                <w:rPr>
                  <w:rFonts w:ascii="Cambria Math" w:hAnsi="Cambria Math" w:cs="Times New Roman"/>
                  <w:szCs w:val="18"/>
                </w:rPr>
                <m:t>,b,f,c</m:t>
              </m:r>
            </m:sub>
          </m:sSub>
          <m:r>
            <w:rPr>
              <w:rFonts w:ascii="Cambria Math" w:hAnsi="Cambria Math" w:cs="Times New Roman"/>
              <w:szCs w:val="18"/>
            </w:rPr>
            <m:t>≠</m:t>
          </m:r>
          <m:r>
            <m:rPr>
              <m:sty m:val="p"/>
            </m:rPr>
            <w:rPr>
              <w:rFonts w:ascii="Cambria Math" w:hAnsi="Cambria Math" w:cs="Times New Roman"/>
              <w:szCs w:val="20"/>
            </w:rPr>
            <m:t>(</m:t>
          </m:r>
          <m:r>
            <m:rPr>
              <m:nor/>
            </m:rPr>
            <w:rPr>
              <w:rFonts w:ascii="Cambria Math" w:hAnsi="Cambria Math" w:cs="Times New Roman"/>
              <w:i/>
              <w:szCs w:val="20"/>
            </w:rPr>
            <m:t>PREAMBLE_POWER_RAMPING_COUNTER</m:t>
          </m:r>
          <m:r>
            <w:rPr>
              <w:rFonts w:ascii="Cambria Math" w:hAnsi="Cambria Math" w:cs="Times New Roman"/>
              <w:szCs w:val="20"/>
            </w:rPr>
            <m:t xml:space="preserve"> </m:t>
          </m:r>
          <m:r>
            <m:rPr>
              <m:sty m:val="p"/>
            </m:rPr>
            <w:rPr>
              <w:rFonts w:ascii="Cambria Math" w:hAnsi="Cambria Math" w:cs="Times New Roman"/>
              <w:szCs w:val="20"/>
            </w:rPr>
            <m:t>–1)×</m:t>
          </m:r>
          <m:r>
            <m:rPr>
              <m:nor/>
            </m:rPr>
            <w:rPr>
              <w:rFonts w:ascii="Cambria Math" w:hAnsi="Cambria Math" w:cs="Times New Roman"/>
              <w:i/>
              <w:szCs w:val="20"/>
            </w:rPr>
            <m:t>PREAMBLE_POWER_RAMPING_STEP</m:t>
          </m:r>
        </m:oMath>
      </m:oMathPara>
    </w:p>
    <w:p w14:paraId="6199EF5E" w14:textId="78A960CC" w:rsidR="00AB1827" w:rsidRPr="00BD51BB" w:rsidRDefault="001F3052" w:rsidP="0067726E">
      <w:r w:rsidRPr="00BD51BB">
        <w:rPr>
          <w:rFonts w:eastAsiaTheme="minorEastAsia"/>
          <w:iCs/>
        </w:rPr>
        <w:t>where equality</w:t>
      </w:r>
      <w:r w:rsidR="00AB1827" w:rsidRPr="00BD51BB">
        <w:rPr>
          <w:rFonts w:eastAsiaTheme="minorEastAsia"/>
          <w:iCs/>
        </w:rPr>
        <w:t xml:space="preserve"> is expected according to [TS 38.321, Sec. 5.1.4],</w:t>
      </w:r>
    </w:p>
    <w:tbl>
      <w:tblPr>
        <w:tblStyle w:val="TableGrid"/>
        <w:tblW w:w="0" w:type="auto"/>
        <w:tblLook w:val="04A0" w:firstRow="1" w:lastRow="0" w:firstColumn="1" w:lastColumn="0" w:noHBand="0" w:noVBand="1"/>
      </w:tblPr>
      <w:tblGrid>
        <w:gridCol w:w="9629"/>
      </w:tblGrid>
      <w:tr w:rsidR="00AB1827" w:rsidRPr="00BD51BB" w14:paraId="392E2493" w14:textId="77777777" w:rsidTr="00AB1827">
        <w:tc>
          <w:tcPr>
            <w:tcW w:w="9629" w:type="dxa"/>
          </w:tcPr>
          <w:p w14:paraId="3C378676" w14:textId="6D7EA81F" w:rsidR="00AB1827" w:rsidRPr="00BD51BB" w:rsidRDefault="00AB1827" w:rsidP="0067726E">
            <w:pPr>
              <w:rPr>
                <w:rFonts w:ascii="Times New Roman" w:hAnsi="Times New Roman" w:cs="Times New Roman"/>
              </w:rPr>
            </w:pPr>
            <w:r w:rsidRPr="00BD51BB">
              <w:rPr>
                <w:rFonts w:ascii="Times New Roman" w:hAnsi="Times New Roman" w:cs="Times New Roman"/>
                <w:sz w:val="20"/>
                <w:szCs w:val="20"/>
              </w:rPr>
              <w:t xml:space="preserve">indicate the </w:t>
            </w:r>
            <w:proofErr w:type="spellStart"/>
            <w:r w:rsidRPr="00BD51BB">
              <w:rPr>
                <w:rFonts w:ascii="Times New Roman" w:hAnsi="Times New Roman" w:cs="Times New Roman"/>
                <w:i/>
                <w:iCs/>
                <w:sz w:val="20"/>
                <w:szCs w:val="20"/>
              </w:rPr>
              <w:t>preambleReceivedTargetPower</w:t>
            </w:r>
            <w:proofErr w:type="spellEnd"/>
            <w:r w:rsidRPr="00BD51BB">
              <w:rPr>
                <w:rFonts w:ascii="Times New Roman" w:hAnsi="Times New Roman" w:cs="Times New Roman"/>
                <w:i/>
                <w:iCs/>
                <w:sz w:val="20"/>
                <w:szCs w:val="20"/>
              </w:rPr>
              <w:t xml:space="preserve"> </w:t>
            </w:r>
            <w:r w:rsidRPr="00BD51BB">
              <w:rPr>
                <w:rFonts w:ascii="Times New Roman" w:hAnsi="Times New Roman" w:cs="Times New Roman"/>
                <w:sz w:val="20"/>
                <w:szCs w:val="20"/>
              </w:rPr>
              <w:t>and the amount of power ramping applied to the latest Random Access Preamble transmission to lower layers (i.e. (</w:t>
            </w:r>
            <w:r w:rsidRPr="00BD51BB">
              <w:rPr>
                <w:rFonts w:ascii="Times New Roman" w:hAnsi="Times New Roman" w:cs="Times New Roman"/>
                <w:i/>
                <w:iCs/>
                <w:sz w:val="20"/>
                <w:szCs w:val="20"/>
              </w:rPr>
              <w:t xml:space="preserve">PREAMBLE_POWER_RAMPING_COUNTER </w:t>
            </w:r>
            <w:r w:rsidRPr="00BD51BB">
              <w:rPr>
                <w:rFonts w:ascii="Times New Roman" w:hAnsi="Times New Roman" w:cs="Times New Roman"/>
                <w:sz w:val="20"/>
                <w:szCs w:val="20"/>
              </w:rPr>
              <w:t xml:space="preserve">– 1) × </w:t>
            </w:r>
            <w:r w:rsidRPr="00BD51BB">
              <w:rPr>
                <w:rFonts w:ascii="Times New Roman" w:hAnsi="Times New Roman" w:cs="Times New Roman"/>
                <w:i/>
                <w:iCs/>
                <w:sz w:val="20"/>
                <w:szCs w:val="20"/>
              </w:rPr>
              <w:t>PREAMBLE_POWER_RAMPING_STEP</w:t>
            </w:r>
            <w:r w:rsidRPr="00BD51BB">
              <w:rPr>
                <w:rFonts w:ascii="Times New Roman" w:hAnsi="Times New Roman" w:cs="Times New Roman"/>
                <w:sz w:val="20"/>
                <w:szCs w:val="20"/>
              </w:rPr>
              <w:t>);</w:t>
            </w:r>
          </w:p>
        </w:tc>
      </w:tr>
    </w:tbl>
    <w:p w14:paraId="00CA1976" w14:textId="77777777" w:rsidR="00AB1827" w:rsidRPr="00BD51BB" w:rsidRDefault="00AB1827" w:rsidP="0067726E"/>
    <w:p w14:paraId="23CD70F3" w14:textId="71CFB7CB" w:rsidR="00AB1827" w:rsidRPr="00BD51BB" w:rsidRDefault="00AB1827" w:rsidP="0067726E">
      <w:r w:rsidRPr="00BD51BB">
        <w:t>In our view, there are three possible solutions to this ambiguity:</w:t>
      </w:r>
    </w:p>
    <w:p w14:paraId="78ED7B10" w14:textId="3E1116C7" w:rsidR="00AB1827" w:rsidRPr="00BD51BB" w:rsidRDefault="006E13D6" w:rsidP="00AB1827">
      <w:pPr>
        <w:pStyle w:val="ListParagraph"/>
        <w:numPr>
          <w:ilvl w:val="0"/>
          <w:numId w:val="30"/>
        </w:numPr>
        <w:rPr>
          <w:lang w:val="en-US"/>
        </w:rPr>
      </w:pPr>
      <w:r w:rsidRPr="00BD51BB">
        <w:rPr>
          <w:lang w:val="en-US"/>
        </w:rPr>
        <w:t>Assume the same step within the same RACH procedure</w:t>
      </w:r>
      <w:r w:rsidR="00CF2B0D" w:rsidRPr="00BD51BB">
        <w:rPr>
          <w:lang w:val="en-US"/>
        </w:rPr>
        <w:t>,</w:t>
      </w:r>
    </w:p>
    <w:p w14:paraId="65CD88E8" w14:textId="77777777" w:rsidR="00AB1827" w:rsidRPr="00BD51BB" w:rsidRDefault="006E13D6" w:rsidP="00AB1827">
      <w:pPr>
        <w:pStyle w:val="ListParagraph"/>
        <w:numPr>
          <w:ilvl w:val="0"/>
          <w:numId w:val="30"/>
        </w:numPr>
        <w:rPr>
          <w:lang w:val="en-US"/>
        </w:rPr>
      </w:pPr>
      <w:r w:rsidRPr="00BD51BB">
        <w:rPr>
          <w:lang w:val="en-US"/>
        </w:rPr>
        <w:t xml:space="preserve">Store the latest used </w:t>
      </w:r>
      <w:proofErr w:type="spellStart"/>
      <w:r w:rsidRPr="00BD51BB">
        <w:rPr>
          <w:lang w:val="en-US"/>
        </w:rPr>
        <w:t>ΔP</w:t>
      </w:r>
      <w:r w:rsidRPr="00BD51BB">
        <w:rPr>
          <w:vertAlign w:val="subscript"/>
          <w:lang w:val="en-US"/>
        </w:rPr>
        <w:t>rampup_requested</w:t>
      </w:r>
      <w:proofErr w:type="spellEnd"/>
    </w:p>
    <w:p w14:paraId="5217354F" w14:textId="6C53CC32" w:rsidR="006E13D6" w:rsidRPr="00BD51BB" w:rsidRDefault="006E13D6" w:rsidP="00CF2B0D">
      <w:pPr>
        <w:pStyle w:val="ListParagraph"/>
        <w:numPr>
          <w:ilvl w:val="0"/>
          <w:numId w:val="30"/>
        </w:numPr>
        <w:spacing w:after="240"/>
        <w:rPr>
          <w:lang w:val="en-US"/>
        </w:rPr>
      </w:pPr>
      <w:r w:rsidRPr="00BD51BB">
        <w:rPr>
          <w:lang w:val="en-US"/>
        </w:rPr>
        <w:t>Ask RAN2 to introduce a recursive computation of PREAMBE_RECEIVED_TARGET_POWER</w:t>
      </w:r>
    </w:p>
    <w:p w14:paraId="26EEE62A" w14:textId="7F7D00CD" w:rsidR="006E13D6" w:rsidRPr="00BD51BB" w:rsidRDefault="003D4A67" w:rsidP="0067726E">
      <w:r w:rsidRPr="00BD51BB">
        <w:t>Alt. 1 would introduce a restriction in the independence between the two RACH configurations. In our view, such a restriction is insignificant</w:t>
      </w:r>
      <w:r w:rsidR="00CF2B0D" w:rsidRPr="00BD51BB">
        <w:t xml:space="preserve"> since we do not see a need for using different counters in different RACH configurations.</w:t>
      </w:r>
      <w:r w:rsidRPr="00BD51BB">
        <w:t xml:space="preserve"> </w:t>
      </w:r>
      <w:r w:rsidR="00AB1827" w:rsidRPr="00BD51BB">
        <w:t xml:space="preserve">Alt. 2 and </w:t>
      </w:r>
      <w:r w:rsidRPr="00BD51BB">
        <w:t>Alt. </w:t>
      </w:r>
      <w:r w:rsidR="00AB1827" w:rsidRPr="00BD51BB">
        <w:t>3</w:t>
      </w:r>
      <w:r w:rsidRPr="00BD51BB">
        <w:t xml:space="preserve"> does not introduce the restriction and</w:t>
      </w:r>
      <w:r w:rsidR="00AB1827" w:rsidRPr="00BD51BB">
        <w:t xml:space="preserve"> </w:t>
      </w:r>
      <w:r w:rsidR="00CF2B0D" w:rsidRPr="00BD51BB">
        <w:t xml:space="preserve">while they </w:t>
      </w:r>
      <w:r w:rsidR="00AB1827" w:rsidRPr="00BD51BB">
        <w:t xml:space="preserve">are </w:t>
      </w:r>
      <w:r w:rsidRPr="00BD51BB">
        <w:t xml:space="preserve">both </w:t>
      </w:r>
      <w:r w:rsidR="00AB1827" w:rsidRPr="00BD51BB">
        <w:t>technically feasible, and would resolve the ambiguity, they come at a cost. I</w:t>
      </w:r>
      <w:r w:rsidRPr="00BD51BB">
        <w:t>n</w:t>
      </w:r>
      <w:r w:rsidR="00AB1827" w:rsidRPr="00BD51BB">
        <w:t xml:space="preserve"> case of Alt. 2, </w:t>
      </w:r>
      <w:r w:rsidR="00E75EB7" w:rsidRPr="00BD51BB">
        <w:t xml:space="preserve">it would require storing another parameter value whereas Alt. 3 would require </w:t>
      </w:r>
      <w:r w:rsidR="00AB1827" w:rsidRPr="00BD51BB">
        <w:t xml:space="preserve">changing </w:t>
      </w:r>
      <w:r w:rsidR="00CF2B0D" w:rsidRPr="00BD51BB">
        <w:t xml:space="preserve">the </w:t>
      </w:r>
      <w:r w:rsidR="00AB1827" w:rsidRPr="00BD51BB">
        <w:t>specifications and the risks associated with making such a change.</w:t>
      </w:r>
    </w:p>
    <w:p w14:paraId="3D5FDEFD" w14:textId="553936F8" w:rsidR="006E13D6" w:rsidRPr="00BD51BB" w:rsidRDefault="008E1D5A" w:rsidP="0067726E">
      <w:pPr>
        <w:pStyle w:val="Observation"/>
      </w:pPr>
      <w:bookmarkStart w:id="39" w:name="_Toc197714068"/>
      <w:r w:rsidRPr="00BD51BB">
        <w:lastRenderedPageBreak/>
        <w:t>The</w:t>
      </w:r>
      <w:r w:rsidR="00445EC1" w:rsidRPr="00BD51BB">
        <w:t xml:space="preserve">re is no significant benefit in </w:t>
      </w:r>
      <w:r w:rsidRPr="00BD51BB">
        <w:t>using different power ramping steps for legacy and additional ROs.</w:t>
      </w:r>
      <w:bookmarkEnd w:id="39"/>
    </w:p>
    <w:p w14:paraId="38337137" w14:textId="470D3263" w:rsidR="004E5BEB" w:rsidRPr="00BD51BB" w:rsidRDefault="008E1D5A" w:rsidP="00510555">
      <w:pPr>
        <w:pStyle w:val="Proposal"/>
      </w:pPr>
      <w:bookmarkStart w:id="40" w:name="_Toc197714076"/>
      <w:r w:rsidRPr="00BD51BB">
        <w:t>A UE may assume the same power ramping step for the additional RACH configuration as for the legacy RAC</w:t>
      </w:r>
      <w:r w:rsidR="00507F8B" w:rsidRPr="00BD51BB">
        <w:t>H</w:t>
      </w:r>
      <w:r w:rsidRPr="00BD51BB">
        <w:t xml:space="preserve"> configuration in determining </w:t>
      </w:r>
      <w:proofErr w:type="spellStart"/>
      <w:r w:rsidRPr="00BD51BB">
        <w:rPr>
          <w:rFonts w:ascii="Cambria" w:hAnsi="Cambria"/>
        </w:rPr>
        <w:t>Δ</w:t>
      </w:r>
      <w:r w:rsidRPr="00BD51BB">
        <w:t>P</w:t>
      </w:r>
      <w:r w:rsidRPr="00BD51BB">
        <w:rPr>
          <w:i/>
          <w:iCs/>
          <w:vertAlign w:val="subscript"/>
        </w:rPr>
        <w:t>rampup_</w:t>
      </w:r>
      <w:proofErr w:type="gramStart"/>
      <w:r w:rsidRPr="00BD51BB">
        <w:rPr>
          <w:i/>
          <w:iCs/>
          <w:vertAlign w:val="subscript"/>
        </w:rPr>
        <w:t>requested,b</w:t>
      </w:r>
      <w:proofErr w:type="gramEnd"/>
      <w:r w:rsidRPr="00BD51BB">
        <w:rPr>
          <w:i/>
          <w:iCs/>
          <w:vertAlign w:val="subscript"/>
        </w:rPr>
        <w:t>,f,c</w:t>
      </w:r>
      <w:proofErr w:type="spellEnd"/>
      <w:r w:rsidR="00507F8B" w:rsidRPr="00BD51BB">
        <w:t xml:space="preserve"> within the same RACH procedure.</w:t>
      </w:r>
      <w:bookmarkEnd w:id="40"/>
    </w:p>
    <w:p w14:paraId="39A6A3C7" w14:textId="6347BF3B" w:rsidR="00D46FEB" w:rsidRPr="00BD51BB" w:rsidRDefault="00D46FEB" w:rsidP="00D46FEB">
      <w:pPr>
        <w:pStyle w:val="Heading2"/>
        <w:rPr>
          <w:lang w:val="en-US"/>
        </w:rPr>
      </w:pPr>
      <w:r w:rsidRPr="00BD51BB">
        <w:rPr>
          <w:lang w:val="en-US"/>
        </w:rPr>
        <w:t>RRC parameters</w:t>
      </w:r>
    </w:p>
    <w:p w14:paraId="52B92A5E" w14:textId="61F92A1B" w:rsidR="003535FE" w:rsidRPr="00BD51BB" w:rsidRDefault="003535FE" w:rsidP="003535FE">
      <w:r w:rsidRPr="00BD51BB">
        <w:rPr>
          <w:iCs/>
        </w:rPr>
        <w:t xml:space="preserve">In the RRC parameter list that RAN1 provided to RAN2 from RAN1 #120, new parameters were included. However, in addition to specifying new parameters, RAN1 has also reinterpreted </w:t>
      </w:r>
      <w:r w:rsidRPr="00BD51BB">
        <w:rPr>
          <w:i/>
          <w:iCs/>
        </w:rPr>
        <w:t xml:space="preserve">msg1-FrequencyStart </w:t>
      </w:r>
      <w:r w:rsidRPr="00BD51BB">
        <w:t>which is an</w:t>
      </w:r>
      <w:r w:rsidRPr="00BD51BB">
        <w:rPr>
          <w:i/>
          <w:iCs/>
        </w:rPr>
        <w:t xml:space="preserve"> </w:t>
      </w:r>
      <w:r w:rsidRPr="00BD51BB">
        <w:rPr>
          <w:iCs/>
        </w:rPr>
        <w:t xml:space="preserve">existing parameter, and considering its present description, RAN2 should be made aware of its changed interpretation. The present field description of </w:t>
      </w:r>
      <w:r w:rsidRPr="00BD51BB">
        <w:rPr>
          <w:i/>
          <w:iCs/>
        </w:rPr>
        <w:t>msg1-FrequencyStart</w:t>
      </w:r>
      <w:r w:rsidRPr="00BD51BB">
        <w:t xml:space="preserve"> is presented in </w:t>
      </w:r>
      <w:r w:rsidRPr="00BD51BB">
        <w:fldChar w:fldCharType="begin"/>
      </w:r>
      <w:r w:rsidRPr="00BD51BB">
        <w:instrText xml:space="preserve"> REF _Ref193957677 \h </w:instrText>
      </w:r>
      <w:r w:rsidRPr="00BD51BB">
        <w:fldChar w:fldCharType="separate"/>
      </w:r>
      <w:r w:rsidR="009A067F" w:rsidRPr="00BD51BB">
        <w:t xml:space="preserve">Table </w:t>
      </w:r>
      <w:r w:rsidR="009A067F">
        <w:rPr>
          <w:noProof/>
        </w:rPr>
        <w:t>1</w:t>
      </w:r>
      <w:r w:rsidRPr="00BD51BB">
        <w:fldChar w:fldCharType="end"/>
      </w:r>
      <w:r w:rsidRPr="00BD51BB">
        <w:t>.</w:t>
      </w:r>
    </w:p>
    <w:p w14:paraId="249B47B8" w14:textId="2A1DD4F0" w:rsidR="003535FE" w:rsidRPr="00BD51BB" w:rsidRDefault="003535FE" w:rsidP="003535FE">
      <w:pPr>
        <w:pStyle w:val="Caption"/>
        <w:keepNext/>
      </w:pPr>
      <w:bookmarkStart w:id="41" w:name="_Ref193957677"/>
      <w:r w:rsidRPr="00BD51BB">
        <w:t xml:space="preserve">Table </w:t>
      </w:r>
      <w:r w:rsidRPr="00BD51BB">
        <w:fldChar w:fldCharType="begin"/>
      </w:r>
      <w:r w:rsidRPr="00BD51BB">
        <w:instrText xml:space="preserve"> SEQ Table \* ARABIC </w:instrText>
      </w:r>
      <w:r w:rsidRPr="00BD51BB">
        <w:fldChar w:fldCharType="separate"/>
      </w:r>
      <w:r w:rsidR="009A067F">
        <w:rPr>
          <w:noProof/>
        </w:rPr>
        <w:t>1</w:t>
      </w:r>
      <w:r w:rsidRPr="00BD51BB">
        <w:fldChar w:fldCharType="end"/>
      </w:r>
      <w:bookmarkEnd w:id="41"/>
      <w:r w:rsidRPr="00BD51BB">
        <w:t xml:space="preserve">: Excerpt from TS 38.331, Sec. 6.3.2 on </w:t>
      </w:r>
      <w:r w:rsidRPr="00BD51BB">
        <w:rPr>
          <w:i/>
          <w:iCs/>
        </w:rPr>
        <w:t>RACH-</w:t>
      </w:r>
      <w:proofErr w:type="spellStart"/>
      <w:r w:rsidRPr="00BD51BB">
        <w:rPr>
          <w:i/>
          <w:iCs/>
        </w:rPr>
        <w:t>ConfigGeneric</w:t>
      </w:r>
      <w:proofErr w:type="spellEnd"/>
      <w:r w:rsidRPr="00BD51BB">
        <w:t xml:space="preserve"> field descriptions.</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3535FE" w:rsidRPr="00BD51BB" w14:paraId="501D89CF" w14:textId="77777777" w:rsidTr="00AC4690">
        <w:trPr>
          <w:trHeight w:val="84"/>
        </w:trPr>
        <w:tc>
          <w:tcPr>
            <w:tcW w:w="5000" w:type="pct"/>
          </w:tcPr>
          <w:p w14:paraId="741B2313" w14:textId="77777777" w:rsidR="003535FE" w:rsidRPr="00BD51BB" w:rsidRDefault="003535FE" w:rsidP="00AC4690">
            <w:pPr>
              <w:jc w:val="center"/>
              <w:rPr>
                <w:iCs/>
              </w:rPr>
            </w:pPr>
            <w:r w:rsidRPr="00BD51BB">
              <w:rPr>
                <w:b/>
                <w:bCs/>
                <w:i/>
                <w:iCs/>
              </w:rPr>
              <w:t>RACH-</w:t>
            </w:r>
            <w:proofErr w:type="spellStart"/>
            <w:r w:rsidRPr="00BD51BB">
              <w:rPr>
                <w:b/>
                <w:bCs/>
                <w:i/>
                <w:iCs/>
              </w:rPr>
              <w:t>ConfigGeneric</w:t>
            </w:r>
            <w:proofErr w:type="spellEnd"/>
            <w:r w:rsidRPr="00BD51BB">
              <w:rPr>
                <w:b/>
                <w:bCs/>
                <w:i/>
                <w:iCs/>
              </w:rPr>
              <w:t xml:space="preserve"> </w:t>
            </w:r>
            <w:r w:rsidRPr="00BD51BB">
              <w:rPr>
                <w:b/>
                <w:bCs/>
                <w:iCs/>
              </w:rPr>
              <w:t>field descriptions</w:t>
            </w:r>
          </w:p>
        </w:tc>
      </w:tr>
      <w:tr w:rsidR="003535FE" w:rsidRPr="00BD51BB" w14:paraId="6C7BC220" w14:textId="77777777" w:rsidTr="00AC4690">
        <w:trPr>
          <w:trHeight w:val="188"/>
        </w:trPr>
        <w:tc>
          <w:tcPr>
            <w:tcW w:w="5000" w:type="pct"/>
          </w:tcPr>
          <w:p w14:paraId="183CB86C" w14:textId="77777777" w:rsidR="003535FE" w:rsidRPr="00711A9D" w:rsidRDefault="003535FE" w:rsidP="00AC4690">
            <w:pPr>
              <w:rPr>
                <w:iCs/>
              </w:rPr>
            </w:pPr>
            <w:r w:rsidRPr="00711A9D">
              <w:rPr>
                <w:i/>
                <w:iCs/>
              </w:rPr>
              <w:t>...</w:t>
            </w:r>
            <w:r w:rsidRPr="00711A9D">
              <w:rPr>
                <w:iCs/>
              </w:rPr>
              <w:t xml:space="preserve"> </w:t>
            </w:r>
          </w:p>
        </w:tc>
      </w:tr>
      <w:tr w:rsidR="003535FE" w:rsidRPr="00BD51BB" w14:paraId="50FDF519" w14:textId="77777777" w:rsidTr="00AC4690">
        <w:trPr>
          <w:trHeight w:val="290"/>
        </w:trPr>
        <w:tc>
          <w:tcPr>
            <w:tcW w:w="5000" w:type="pct"/>
          </w:tcPr>
          <w:p w14:paraId="62D33CFC" w14:textId="77777777" w:rsidR="003535FE" w:rsidRPr="00BD51BB" w:rsidRDefault="003535FE" w:rsidP="00AC4690">
            <w:pPr>
              <w:rPr>
                <w:iCs/>
              </w:rPr>
            </w:pPr>
            <w:r w:rsidRPr="00BD51BB">
              <w:rPr>
                <w:b/>
                <w:bCs/>
                <w:i/>
                <w:iCs/>
              </w:rPr>
              <w:t xml:space="preserve">msg1-FrequencyStart </w:t>
            </w:r>
          </w:p>
          <w:p w14:paraId="5CD77705" w14:textId="77777777" w:rsidR="003535FE" w:rsidRPr="00BD51BB" w:rsidRDefault="003535FE" w:rsidP="00AC4690">
            <w:pPr>
              <w:rPr>
                <w:iCs/>
              </w:rPr>
            </w:pPr>
            <w:r w:rsidRPr="00BD51BB">
              <w:rPr>
                <w:iCs/>
              </w:rPr>
              <w:t xml:space="preserve">Offset of lowest PRACH transmission occasion in frequency domain </w:t>
            </w:r>
            <w:r w:rsidRPr="00BD51BB">
              <w:rPr>
                <w:iCs/>
                <w:highlight w:val="yellow"/>
              </w:rPr>
              <w:t>with respective to PRB 0</w:t>
            </w:r>
            <w:r w:rsidRPr="00BD51BB">
              <w:rPr>
                <w:iCs/>
              </w:rPr>
              <w:t xml:space="preserve">. The value is configured so that the corresponding RACH resource is entirely within the bandwidth of the UL BWP. (see TS 38.211 [16], clause 6.3.3.2). </w:t>
            </w:r>
          </w:p>
        </w:tc>
      </w:tr>
    </w:tbl>
    <w:p w14:paraId="39B0AAB5" w14:textId="77777777" w:rsidR="003535FE" w:rsidRPr="00BD51BB" w:rsidRDefault="003535FE" w:rsidP="003535FE">
      <w:pPr>
        <w:spacing w:before="240" w:after="0"/>
        <w:rPr>
          <w:iCs/>
        </w:rPr>
      </w:pPr>
      <w:r w:rsidRPr="00BD51BB">
        <w:rPr>
          <w:iCs/>
        </w:rPr>
        <w:t>The above description is too detailed to also comprise the new interpretation of the parameter (see yellow highlighting). Hence, the above description should be updated to also include the interpretation for SBFD-aware UEs that relates to the first PRB of the UL subband instead of PRB 0.</w:t>
      </w:r>
    </w:p>
    <w:p w14:paraId="3F8E55FD" w14:textId="7EB6D257" w:rsidR="00510555" w:rsidRPr="00BD51BB" w:rsidRDefault="003535FE" w:rsidP="003535FE">
      <w:pPr>
        <w:pStyle w:val="Proposal"/>
        <w:rPr>
          <w:lang w:eastAsia="ja-JP"/>
        </w:rPr>
      </w:pPr>
      <w:bookmarkStart w:id="42" w:name="_Toc194086902"/>
      <w:bookmarkStart w:id="43" w:name="_Toc197714077"/>
      <w:r w:rsidRPr="00BD51BB">
        <w:t xml:space="preserve">Update RRC parameter list to also include the updated interpretation of </w:t>
      </w:r>
      <w:r w:rsidRPr="00BD51BB">
        <w:rPr>
          <w:i/>
        </w:rPr>
        <w:t>msg1-FrequencyStart</w:t>
      </w:r>
      <w:r w:rsidRPr="00BD51BB">
        <w:t xml:space="preserve">, i.e., offset of lowest PRACH transmission occasion in frequency domain with </w:t>
      </w:r>
      <w:r w:rsidRPr="00BD51BB">
        <w:rPr>
          <w:szCs w:val="20"/>
        </w:rPr>
        <w:t>respective to the lowest PRB of the UL usable PRBs.</w:t>
      </w:r>
      <w:bookmarkEnd w:id="42"/>
      <w:bookmarkEnd w:id="43"/>
    </w:p>
    <w:p w14:paraId="7B876C29" w14:textId="1229F0B7" w:rsidR="003535FE" w:rsidRPr="00BD51BB" w:rsidRDefault="003535FE" w:rsidP="003535FE">
      <w:r w:rsidRPr="00BD51BB">
        <w:rPr>
          <w:iCs/>
        </w:rPr>
        <w:t xml:space="preserve">Additionally, RAN1 has agreed that the network can indicate a preferred RACH type to use for SBFD-aware UEs, legacy or SBFD. This indicator should be included in the RRC parameter list for further inclusion </w:t>
      </w:r>
      <w:r w:rsidRPr="00BD51BB">
        <w:t xml:space="preserve">into </w:t>
      </w:r>
      <w:r w:rsidRPr="00BD51BB">
        <w:rPr>
          <w:i/>
          <w:iCs/>
        </w:rPr>
        <w:t>RACH-</w:t>
      </w:r>
      <w:proofErr w:type="spellStart"/>
      <w:r w:rsidRPr="00BD51BB">
        <w:rPr>
          <w:i/>
          <w:iCs/>
        </w:rPr>
        <w:t>ConfigDedicated</w:t>
      </w:r>
      <w:proofErr w:type="spellEnd"/>
      <w:r w:rsidRPr="00BD51BB">
        <w:t xml:space="preserve"> and </w:t>
      </w:r>
      <w:proofErr w:type="spellStart"/>
      <w:r w:rsidRPr="00BD51BB">
        <w:rPr>
          <w:i/>
          <w:iCs/>
        </w:rPr>
        <w:t>BeamFailureRecoveryConfig</w:t>
      </w:r>
      <w:proofErr w:type="spellEnd"/>
      <w:r w:rsidRPr="00BD51BB">
        <w:t xml:space="preserve"> indicating legacy or SBFD RACH.</w:t>
      </w:r>
    </w:p>
    <w:p w14:paraId="154D5689" w14:textId="77777777" w:rsidR="003535FE" w:rsidRPr="00BD51BB" w:rsidRDefault="003535FE" w:rsidP="003535FE">
      <w:pPr>
        <w:pStyle w:val="Proposal"/>
        <w:tabs>
          <w:tab w:val="num" w:pos="10376"/>
        </w:tabs>
        <w:ind w:left="1304" w:hanging="1304"/>
      </w:pPr>
      <w:bookmarkStart w:id="44" w:name="_Toc194086904"/>
      <w:bookmarkStart w:id="45" w:name="_Toc197714078"/>
      <w:r w:rsidRPr="00BD51BB">
        <w:t xml:space="preserve">Include </w:t>
      </w:r>
      <w:proofErr w:type="spellStart"/>
      <w:r w:rsidRPr="00BD51BB">
        <w:rPr>
          <w:i/>
          <w:iCs/>
        </w:rPr>
        <w:t>sbfd-RACHTypeIndication</w:t>
      </w:r>
      <w:proofErr w:type="spellEnd"/>
      <w:r w:rsidRPr="00BD51BB">
        <w:t xml:space="preserve"> into </w:t>
      </w:r>
      <w:r w:rsidRPr="00BD51BB">
        <w:rPr>
          <w:i/>
          <w:iCs/>
        </w:rPr>
        <w:t>RACH-</w:t>
      </w:r>
      <w:proofErr w:type="spellStart"/>
      <w:r w:rsidRPr="00BD51BB">
        <w:rPr>
          <w:i/>
          <w:iCs/>
        </w:rPr>
        <w:t>ConfigDedicated</w:t>
      </w:r>
      <w:proofErr w:type="spellEnd"/>
      <w:r w:rsidRPr="00BD51BB">
        <w:t xml:space="preserve"> and </w:t>
      </w:r>
      <w:proofErr w:type="spellStart"/>
      <w:r w:rsidRPr="00BD51BB">
        <w:rPr>
          <w:i/>
          <w:iCs/>
        </w:rPr>
        <w:t>BeamFailure</w:t>
      </w:r>
      <w:proofErr w:type="spellEnd"/>
      <w:r w:rsidRPr="00BD51BB">
        <w:rPr>
          <w:i/>
          <w:iCs/>
        </w:rPr>
        <w:t xml:space="preserve">- </w:t>
      </w:r>
      <w:proofErr w:type="spellStart"/>
      <w:r w:rsidRPr="00BD51BB">
        <w:rPr>
          <w:i/>
          <w:iCs/>
        </w:rPr>
        <w:t>RecoveryConfig</w:t>
      </w:r>
      <w:proofErr w:type="spellEnd"/>
      <w:r w:rsidRPr="00BD51BB">
        <w:t>.</w:t>
      </w:r>
      <w:bookmarkEnd w:id="44"/>
      <w:bookmarkEnd w:id="45"/>
    </w:p>
    <w:p w14:paraId="266C8BE3" w14:textId="2903000D" w:rsidR="003535FE" w:rsidRPr="00BD51BB" w:rsidRDefault="00123018" w:rsidP="00123018">
      <w:pPr>
        <w:rPr>
          <w:lang w:eastAsia="ja-JP"/>
        </w:rPr>
      </w:pPr>
      <w:r w:rsidRPr="00BD51BB">
        <w:rPr>
          <w:lang w:eastAsia="ja-JP"/>
        </w:rPr>
        <w:t xml:space="preserve">In RAN1 #120bis, two additional parameters for SBFD symbols were agreed, </w:t>
      </w:r>
      <w:r w:rsidRPr="00BD51BB">
        <w:rPr>
          <w:i/>
          <w:iCs/>
          <w:lang w:eastAsia="ja-JP"/>
        </w:rPr>
        <w:t>msg3-Alpha</w:t>
      </w:r>
      <w:r w:rsidRPr="00BD51BB">
        <w:rPr>
          <w:lang w:eastAsia="ja-JP"/>
        </w:rPr>
        <w:t xml:space="preserve"> and </w:t>
      </w:r>
      <w:r w:rsidRPr="00BD51BB">
        <w:rPr>
          <w:i/>
          <w:iCs/>
          <w:lang w:eastAsia="ja-JP"/>
        </w:rPr>
        <w:t>p0-nominal</w:t>
      </w:r>
      <w:r w:rsidRPr="00BD51BB">
        <w:rPr>
          <w:lang w:eastAsia="ja-JP"/>
        </w:rPr>
        <w:t>. In addition to the above parameters, these too should be added to the RRC parameter list.</w:t>
      </w:r>
    </w:p>
    <w:p w14:paraId="0A5F452A" w14:textId="087D0751" w:rsidR="00D46FEB" w:rsidRPr="00BD51BB" w:rsidRDefault="00D46FEB" w:rsidP="0067726E">
      <w:pPr>
        <w:pStyle w:val="Proposal"/>
      </w:pPr>
      <w:bookmarkStart w:id="46" w:name="_Toc197714079"/>
      <w:r w:rsidRPr="00BD51BB">
        <w:t xml:space="preserve">Include separate </w:t>
      </w:r>
      <w:r w:rsidRPr="00BD51BB">
        <w:rPr>
          <w:i/>
          <w:iCs/>
        </w:rPr>
        <w:t>msg3-Alpha</w:t>
      </w:r>
      <w:r w:rsidRPr="00BD51BB">
        <w:t xml:space="preserve"> for SBFD symbols in RRC parameter list.</w:t>
      </w:r>
      <w:bookmarkEnd w:id="46"/>
    </w:p>
    <w:p w14:paraId="5EDF7CB7" w14:textId="503F1147" w:rsidR="00D46FEB" w:rsidRPr="00BD51BB" w:rsidRDefault="00D46FEB" w:rsidP="0067726E">
      <w:pPr>
        <w:pStyle w:val="Proposal"/>
      </w:pPr>
      <w:bookmarkStart w:id="47" w:name="_Toc197714080"/>
      <w:r w:rsidRPr="00BD51BB">
        <w:t xml:space="preserve">Include separate </w:t>
      </w:r>
      <w:r w:rsidRPr="00BD51BB">
        <w:rPr>
          <w:i/>
          <w:iCs/>
        </w:rPr>
        <w:t>p0-nominal</w:t>
      </w:r>
      <w:r w:rsidRPr="00BD51BB">
        <w:t xml:space="preserve"> for SBFD symbols in RRC parameter list.</w:t>
      </w:r>
      <w:bookmarkEnd w:id="47"/>
    </w:p>
    <w:p w14:paraId="37EB5693" w14:textId="77777777" w:rsidR="00C01F33" w:rsidRPr="00BD51BB" w:rsidRDefault="00C01F33" w:rsidP="00CE0424">
      <w:pPr>
        <w:pStyle w:val="Heading1"/>
        <w:rPr>
          <w:lang w:val="en-US"/>
        </w:rPr>
      </w:pPr>
      <w:r w:rsidRPr="00BD51BB">
        <w:rPr>
          <w:lang w:val="en-US"/>
        </w:rPr>
        <w:t>Conclusion</w:t>
      </w:r>
    </w:p>
    <w:p w14:paraId="5A650F21" w14:textId="77777777" w:rsidR="008E065E" w:rsidRPr="00BD51BB" w:rsidRDefault="008E065E" w:rsidP="0067726E">
      <w:pPr>
        <w:pStyle w:val="BodyText"/>
        <w:rPr>
          <w:b/>
          <w:bCs/>
        </w:rPr>
      </w:pPr>
      <w:r w:rsidRPr="00BD51BB">
        <w:t xml:space="preserve">In </w:t>
      </w:r>
      <w:r w:rsidR="007729A2" w:rsidRPr="00BD51BB">
        <w:t xml:space="preserve">the previous </w:t>
      </w:r>
      <w:r w:rsidRPr="00BD51BB">
        <w:t>section</w:t>
      </w:r>
      <w:r w:rsidR="007729A2" w:rsidRPr="00BD51BB">
        <w:t>s</w:t>
      </w:r>
      <w:r w:rsidRPr="00BD51BB">
        <w:t xml:space="preserve"> we made the following observations:</w:t>
      </w:r>
      <w:r w:rsidR="00C93814" w:rsidRPr="00BD51BB">
        <w:rPr>
          <w:b/>
          <w:bCs/>
        </w:rPr>
        <w:t xml:space="preserve"> </w:t>
      </w:r>
    </w:p>
    <w:p w14:paraId="3380E65F" w14:textId="5C80A8CC" w:rsidR="009A067F" w:rsidRDefault="006F6582"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r w:rsidRPr="00BD51BB">
        <w:rPr>
          <w:bCs/>
        </w:rPr>
        <w:fldChar w:fldCharType="begin"/>
      </w:r>
      <w:r w:rsidRPr="00BD51BB">
        <w:rPr>
          <w:bCs/>
        </w:rPr>
        <w:instrText xml:space="preserve"> TOC \f O \n \h \z \t "Observation" \c </w:instrText>
      </w:r>
      <w:r w:rsidRPr="00BD51BB">
        <w:rPr>
          <w:bCs/>
        </w:rPr>
        <w:fldChar w:fldCharType="separate"/>
      </w:r>
      <w:hyperlink w:anchor="_Toc197714058" w:history="1">
        <w:r w:rsidR="009A067F" w:rsidRPr="001355FF">
          <w:rPr>
            <w:rStyle w:val="Hyperlink"/>
            <w:noProof/>
          </w:rPr>
          <w:t>Observation 1</w:t>
        </w:r>
        <w:r w:rsidR="009A067F">
          <w:rPr>
            <w:rFonts w:asciiTheme="minorHAnsi" w:eastAsiaTheme="minorEastAsia" w:hAnsiTheme="minorHAnsi"/>
            <w:b w:val="0"/>
            <w:noProof/>
            <w:kern w:val="2"/>
            <w:sz w:val="24"/>
            <w:szCs w:val="24"/>
            <w:lang w:val="en-SE" w:eastAsia="en-SE"/>
            <w14:ligatures w14:val="standardContextual"/>
          </w:rPr>
          <w:tab/>
        </w:r>
        <w:r w:rsidR="009A067F" w:rsidRPr="001355FF">
          <w:rPr>
            <w:rStyle w:val="Hyperlink"/>
            <w:noProof/>
          </w:rPr>
          <w:t>There is no need to define a separate RA-RNTI for additional ROs.</w:t>
        </w:r>
      </w:hyperlink>
    </w:p>
    <w:p w14:paraId="7312AAA4" w14:textId="62ED4B8A"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59" w:history="1">
        <w:r w:rsidRPr="001355FF">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1355FF">
          <w:rPr>
            <w:rStyle w:val="Hyperlink"/>
            <w:noProof/>
          </w:rPr>
          <w:t>Since RAN4 has agreed on explicit and unambiguous guard periods, there is no reason why a UE should not leverage the same guard period for its own reconfiguration.</w:t>
        </w:r>
      </w:hyperlink>
    </w:p>
    <w:p w14:paraId="2E295781" w14:textId="453B0C0C"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60" w:history="1">
        <w:r w:rsidRPr="001355FF">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1355FF">
          <w:rPr>
            <w:rStyle w:val="Hyperlink"/>
            <w:noProof/>
          </w:rPr>
          <w:t xml:space="preserve">Reusing the repetition counter for different preamble formats with different </w:t>
        </w:r>
        <w:r w:rsidRPr="001355FF">
          <w:rPr>
            <w:rStyle w:val="Hyperlink"/>
            <w:i/>
            <w:iCs/>
            <w:noProof/>
          </w:rPr>
          <w:t>preambleReceivedTargetPower</w:t>
        </w:r>
        <w:r w:rsidRPr="001355FF">
          <w:rPr>
            <w:rStyle w:val="Hyperlink"/>
            <w:noProof/>
          </w:rPr>
          <w:t xml:space="preserve"> configurations will reduce PRACH capacity.</w:t>
        </w:r>
      </w:hyperlink>
    </w:p>
    <w:p w14:paraId="030EC882" w14:textId="035D0F0A"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61" w:history="1">
        <w:r w:rsidRPr="001355FF">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1355FF">
          <w:rPr>
            <w:rStyle w:val="Hyperlink"/>
            <w:noProof/>
          </w:rPr>
          <w:t>Reusing the repetition counter or performing frequent switching between RO types in a capacity constrained network will reduce PRACH capacity.</w:t>
        </w:r>
      </w:hyperlink>
    </w:p>
    <w:p w14:paraId="692ED221" w14:textId="140EF06D"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62" w:history="1">
        <w:r w:rsidRPr="001355FF">
          <w:rPr>
            <w:rStyle w:val="Hyperlink"/>
            <w:noProof/>
          </w:rPr>
          <w:t>Observation 5</w:t>
        </w:r>
        <w:r>
          <w:rPr>
            <w:rFonts w:asciiTheme="minorHAnsi" w:eastAsiaTheme="minorEastAsia" w:hAnsiTheme="minorHAnsi"/>
            <w:b w:val="0"/>
            <w:noProof/>
            <w:kern w:val="2"/>
            <w:sz w:val="24"/>
            <w:szCs w:val="24"/>
            <w:lang w:val="en-SE" w:eastAsia="en-SE"/>
            <w14:ligatures w14:val="standardContextual"/>
          </w:rPr>
          <w:tab/>
        </w:r>
        <w:r w:rsidRPr="001355FF">
          <w:rPr>
            <w:rStyle w:val="Hyperlink"/>
            <w:noProof/>
          </w:rPr>
          <w:t>A UE may apply PRACH repetitions and RO type switching within one RACH procedure.</w:t>
        </w:r>
      </w:hyperlink>
    </w:p>
    <w:p w14:paraId="444030F4" w14:textId="19BFCC61"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63" w:history="1">
        <w:r w:rsidRPr="001355FF">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1355FF">
          <w:rPr>
            <w:rStyle w:val="Hyperlink"/>
            <w:i/>
            <w:iCs/>
            <w:noProof/>
          </w:rPr>
          <w:t>P</w:t>
        </w:r>
        <w:r w:rsidRPr="001355FF">
          <w:rPr>
            <w:rStyle w:val="Hyperlink"/>
            <w:i/>
            <w:iCs/>
            <w:noProof/>
            <w:vertAlign w:val="subscript"/>
          </w:rPr>
          <w:t>CMAX</w:t>
        </w:r>
        <w:r w:rsidRPr="001355FF">
          <w:rPr>
            <w:rStyle w:val="Hyperlink"/>
            <w:noProof/>
          </w:rPr>
          <w:t xml:space="preserve"> not only affects PRACH but also other UL signals and channels why a change in </w:t>
        </w:r>
        <w:r w:rsidRPr="001355FF">
          <w:rPr>
            <w:rStyle w:val="Hyperlink"/>
            <w:i/>
            <w:iCs/>
            <w:noProof/>
          </w:rPr>
          <w:t>P</w:t>
        </w:r>
        <w:r w:rsidRPr="001355FF">
          <w:rPr>
            <w:rStyle w:val="Hyperlink"/>
            <w:i/>
            <w:iCs/>
            <w:noProof/>
            <w:vertAlign w:val="subscript"/>
          </w:rPr>
          <w:t>CMAX</w:t>
        </w:r>
        <w:r w:rsidRPr="001355FF">
          <w:rPr>
            <w:rStyle w:val="Hyperlink"/>
            <w:noProof/>
          </w:rPr>
          <w:t xml:space="preserve"> must not be done without considering the consequences of these other signals and channels.</w:t>
        </w:r>
      </w:hyperlink>
    </w:p>
    <w:p w14:paraId="6DA2DFDF" w14:textId="07BD2CE7"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64" w:history="1">
        <w:r w:rsidRPr="001355FF">
          <w:rPr>
            <w:rStyle w:val="Hyperlink"/>
            <w:noProof/>
          </w:rPr>
          <w:t>Observation 7</w:t>
        </w:r>
        <w:r>
          <w:rPr>
            <w:rFonts w:asciiTheme="minorHAnsi" w:eastAsiaTheme="minorEastAsia" w:hAnsiTheme="minorHAnsi"/>
            <w:b w:val="0"/>
            <w:noProof/>
            <w:kern w:val="2"/>
            <w:sz w:val="24"/>
            <w:szCs w:val="24"/>
            <w:lang w:val="en-SE" w:eastAsia="en-SE"/>
            <w14:ligatures w14:val="standardContextual"/>
          </w:rPr>
          <w:tab/>
        </w:r>
        <w:r w:rsidRPr="001355FF">
          <w:rPr>
            <w:rStyle w:val="Hyperlink"/>
            <w:noProof/>
          </w:rPr>
          <w:t xml:space="preserve">PRACH is an infrequent transmission and any change in </w:t>
        </w:r>
        <w:r w:rsidRPr="001355FF">
          <w:rPr>
            <w:rStyle w:val="Hyperlink"/>
            <w:i/>
            <w:iCs/>
            <w:noProof/>
          </w:rPr>
          <w:t>P</w:t>
        </w:r>
        <w:r w:rsidRPr="001355FF">
          <w:rPr>
            <w:rStyle w:val="Hyperlink"/>
            <w:i/>
            <w:iCs/>
            <w:noProof/>
            <w:vertAlign w:val="subscript"/>
          </w:rPr>
          <w:t>CMAX</w:t>
        </w:r>
        <w:r w:rsidRPr="001355FF">
          <w:rPr>
            <w:rStyle w:val="Hyperlink"/>
            <w:noProof/>
          </w:rPr>
          <w:t xml:space="preserve"> will have negligible effect on UE-to-UE CLI compared to other, more frequent UL transmissions.</w:t>
        </w:r>
      </w:hyperlink>
    </w:p>
    <w:p w14:paraId="1C73690C" w14:textId="10BDBFBB"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65" w:history="1">
        <w:r w:rsidRPr="001355FF">
          <w:rPr>
            <w:rStyle w:val="Hyperlink"/>
            <w:noProof/>
          </w:rPr>
          <w:t>Observation 8</w:t>
        </w:r>
        <w:r>
          <w:rPr>
            <w:rFonts w:asciiTheme="minorHAnsi" w:eastAsiaTheme="minorEastAsia" w:hAnsiTheme="minorHAnsi"/>
            <w:b w:val="0"/>
            <w:noProof/>
            <w:kern w:val="2"/>
            <w:sz w:val="24"/>
            <w:szCs w:val="24"/>
            <w:lang w:val="en-SE" w:eastAsia="en-SE"/>
            <w14:ligatures w14:val="standardContextual"/>
          </w:rPr>
          <w:tab/>
        </w:r>
        <w:r w:rsidRPr="001355FF">
          <w:rPr>
            <w:rStyle w:val="Hyperlink"/>
            <w:noProof/>
          </w:rPr>
          <w:t xml:space="preserve">RAN2 has agreed to support fallback, implying UE have already attempted transmitting PRACH with different RO types, i.e., no additional </w:t>
        </w:r>
        <w:r w:rsidRPr="001355FF">
          <w:rPr>
            <w:rStyle w:val="Hyperlink"/>
            <w:i/>
            <w:iCs/>
            <w:noProof/>
          </w:rPr>
          <w:t>preambleTransMax</w:t>
        </w:r>
        <w:r w:rsidRPr="001355FF">
          <w:rPr>
            <w:rStyle w:val="Hyperlink"/>
            <w:noProof/>
          </w:rPr>
          <w:t xml:space="preserve"> is necessary.</w:t>
        </w:r>
      </w:hyperlink>
    </w:p>
    <w:p w14:paraId="1291AEBB" w14:textId="41C029C8"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66" w:history="1">
        <w:r w:rsidRPr="001355FF">
          <w:rPr>
            <w:rStyle w:val="Hyperlink"/>
            <w:noProof/>
          </w:rPr>
          <w:t>Observation 9</w:t>
        </w:r>
        <w:r>
          <w:rPr>
            <w:rFonts w:asciiTheme="minorHAnsi" w:eastAsiaTheme="minorEastAsia" w:hAnsiTheme="minorHAnsi"/>
            <w:b w:val="0"/>
            <w:noProof/>
            <w:kern w:val="2"/>
            <w:sz w:val="24"/>
            <w:szCs w:val="24"/>
            <w:lang w:val="en-SE" w:eastAsia="en-SE"/>
            <w14:ligatures w14:val="standardContextual"/>
          </w:rPr>
          <w:tab/>
        </w:r>
        <w:r w:rsidRPr="001355FF">
          <w:rPr>
            <w:rStyle w:val="Hyperlink"/>
            <w:noProof/>
          </w:rPr>
          <w:t>For the range limited scenario, power ramping using the legacy preamble format may increase transmit power far beyond the level that is required to successfully receive the additional preamble format.</w:t>
        </w:r>
      </w:hyperlink>
    </w:p>
    <w:p w14:paraId="79E8E657" w14:textId="6816AACB"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67" w:history="1">
        <w:r w:rsidRPr="001355FF">
          <w:rPr>
            <w:rStyle w:val="Hyperlink"/>
            <w:noProof/>
          </w:rPr>
          <w:t>Observation 10</w:t>
        </w:r>
        <w:r>
          <w:rPr>
            <w:rFonts w:asciiTheme="minorHAnsi" w:eastAsiaTheme="minorEastAsia" w:hAnsiTheme="minorHAnsi"/>
            <w:b w:val="0"/>
            <w:noProof/>
            <w:kern w:val="2"/>
            <w:sz w:val="24"/>
            <w:szCs w:val="24"/>
            <w:lang w:val="en-SE" w:eastAsia="en-SE"/>
            <w14:ligatures w14:val="standardContextual"/>
          </w:rPr>
          <w:tab/>
        </w:r>
        <w:r w:rsidRPr="001355FF">
          <w:rPr>
            <w:rStyle w:val="Hyperlink"/>
            <w:noProof/>
          </w:rPr>
          <w:t>A too high PRACH preamble transmit power may cause gNB saturation and excessive UE-to-UE interference or inter-cell PRACH preamble interference.</w:t>
        </w:r>
      </w:hyperlink>
    </w:p>
    <w:p w14:paraId="76D99076" w14:textId="32D6C69D"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68" w:history="1">
        <w:r w:rsidRPr="001355FF">
          <w:rPr>
            <w:rStyle w:val="Hyperlink"/>
            <w:noProof/>
          </w:rPr>
          <w:t>Observation 11</w:t>
        </w:r>
        <w:r>
          <w:rPr>
            <w:rFonts w:asciiTheme="minorHAnsi" w:eastAsiaTheme="minorEastAsia" w:hAnsiTheme="minorHAnsi"/>
            <w:b w:val="0"/>
            <w:noProof/>
            <w:kern w:val="2"/>
            <w:sz w:val="24"/>
            <w:szCs w:val="24"/>
            <w:lang w:val="en-SE" w:eastAsia="en-SE"/>
            <w14:ligatures w14:val="standardContextual"/>
          </w:rPr>
          <w:tab/>
        </w:r>
        <w:r w:rsidRPr="001355FF">
          <w:rPr>
            <w:rStyle w:val="Hyperlink"/>
            <w:noProof/>
          </w:rPr>
          <w:t>There is no significant benefit in using different power ramping steps for legacy and additional ROs.</w:t>
        </w:r>
      </w:hyperlink>
    </w:p>
    <w:p w14:paraId="7D91EC5D" w14:textId="1387FE9F" w:rsidR="006E1C82" w:rsidRPr="00BD51BB" w:rsidRDefault="006F6582" w:rsidP="009A067F">
      <w:pPr>
        <w:pStyle w:val="BodyText"/>
      </w:pPr>
      <w:r w:rsidRPr="00BD51BB">
        <w:fldChar w:fldCharType="end"/>
      </w:r>
    </w:p>
    <w:p w14:paraId="6225A1B8" w14:textId="77777777" w:rsidR="006E1C82" w:rsidRPr="00BD51BB" w:rsidRDefault="008E065E" w:rsidP="009A067F">
      <w:pPr>
        <w:pStyle w:val="BodyText"/>
      </w:pPr>
      <w:r w:rsidRPr="00BD51BB">
        <w:t xml:space="preserve">Based on the discussion in </w:t>
      </w:r>
      <w:r w:rsidR="007729A2" w:rsidRPr="00BD51BB">
        <w:t xml:space="preserve">the previous </w:t>
      </w:r>
      <w:r w:rsidRPr="00BD51BB">
        <w:t>section</w:t>
      </w:r>
      <w:r w:rsidR="007729A2" w:rsidRPr="00BD51BB">
        <w:t>s</w:t>
      </w:r>
      <w:r w:rsidRPr="00BD51BB">
        <w:t xml:space="preserve"> we propose the following:</w:t>
      </w:r>
    </w:p>
    <w:p w14:paraId="13267512" w14:textId="77777777" w:rsidR="009A067F" w:rsidRDefault="006E1C82"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r w:rsidRPr="00BD51BB">
        <w:rPr>
          <w:bCs/>
        </w:rPr>
        <w:fldChar w:fldCharType="begin"/>
      </w:r>
      <w:r w:rsidRPr="00BD51BB">
        <w:rPr>
          <w:bCs/>
        </w:rPr>
        <w:instrText xml:space="preserve"> TOC \n \h \z \t "Proposal" \c </w:instrText>
      </w:r>
      <w:r w:rsidRPr="00BD51BB">
        <w:rPr>
          <w:bCs/>
        </w:rPr>
        <w:fldChar w:fldCharType="separate"/>
      </w:r>
      <w:hyperlink w:anchor="_Toc197714069" w:history="1">
        <w:r w:rsidR="009A067F" w:rsidRPr="00F13D36">
          <w:rPr>
            <w:rStyle w:val="Hyperlink"/>
            <w:noProof/>
          </w:rPr>
          <w:t>Proposal 1</w:t>
        </w:r>
        <w:r w:rsidR="009A067F">
          <w:rPr>
            <w:rFonts w:asciiTheme="minorHAnsi" w:eastAsiaTheme="minorEastAsia" w:hAnsiTheme="minorHAnsi"/>
            <w:b w:val="0"/>
            <w:noProof/>
            <w:kern w:val="2"/>
            <w:sz w:val="24"/>
            <w:szCs w:val="24"/>
            <w:lang w:val="en-SE" w:eastAsia="en-SE"/>
            <w14:ligatures w14:val="standardContextual"/>
          </w:rPr>
          <w:tab/>
        </w:r>
        <w:r w:rsidR="009A067F" w:rsidRPr="00F13D36">
          <w:rPr>
            <w:rStyle w:val="Hyperlink"/>
            <w:noProof/>
          </w:rPr>
          <w:t>Leave to RAN2 to decide the spec impact on SBFD-aware UEs transmitting Msg1 during CBRA in a legacy RO.</w:t>
        </w:r>
      </w:hyperlink>
    </w:p>
    <w:p w14:paraId="456601EA" w14:textId="77777777"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70" w:history="1">
        <w:r w:rsidRPr="00F13D36">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F13D36">
          <w:rPr>
            <w:rStyle w:val="Hyperlink"/>
            <w:noProof/>
          </w:rPr>
          <w:t>For Msg3 PUSCH in SBFD symbols, the UL usable PRBs are determined as the intersection between the [cell-specific] UL subband and the UL active BWP.</w:t>
        </w:r>
      </w:hyperlink>
    </w:p>
    <w:p w14:paraId="756447B2" w14:textId="77777777"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71" w:history="1">
        <w:r w:rsidRPr="00F13D36">
          <w:rPr>
            <w:rStyle w:val="Hyperlink"/>
            <w:noProof/>
            <w:lang w:val="en-GB"/>
          </w:rPr>
          <w:t>Proposal 3</w:t>
        </w:r>
        <w:r>
          <w:rPr>
            <w:rFonts w:asciiTheme="minorHAnsi" w:eastAsiaTheme="minorEastAsia" w:hAnsiTheme="minorHAnsi"/>
            <w:b w:val="0"/>
            <w:noProof/>
            <w:kern w:val="2"/>
            <w:sz w:val="24"/>
            <w:szCs w:val="24"/>
            <w:lang w:val="en-SE" w:eastAsia="en-SE"/>
            <w14:ligatures w14:val="standardContextual"/>
          </w:rPr>
          <w:tab/>
        </w:r>
        <w:r w:rsidRPr="00F13D36">
          <w:rPr>
            <w:rStyle w:val="Hyperlink"/>
            <w:noProof/>
          </w:rPr>
          <w:t>In an RO across SBFD and non-SBFD symbols, a UE is not expected to transmit a PRACH preamble in the guard (transient) period immediately preceding UL symbols.</w:t>
        </w:r>
      </w:hyperlink>
    </w:p>
    <w:p w14:paraId="231F61C4" w14:textId="77777777"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72" w:history="1">
        <w:r w:rsidRPr="00F13D36">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F13D36">
          <w:rPr>
            <w:rStyle w:val="Hyperlink"/>
            <w:noProof/>
          </w:rPr>
          <w:t>A UE use separate repetition counters for each RO type.</w:t>
        </w:r>
      </w:hyperlink>
    </w:p>
    <w:p w14:paraId="05F6577A" w14:textId="77777777"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73" w:history="1">
        <w:r w:rsidRPr="00F13D36">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F13D36">
          <w:rPr>
            <w:rStyle w:val="Hyperlink"/>
            <w:noProof/>
          </w:rPr>
          <w:t xml:space="preserve">No SBFD-specific instances of </w:t>
        </w:r>
        <w:r w:rsidRPr="00F13D36">
          <w:rPr>
            <w:rStyle w:val="Hyperlink"/>
            <w:i/>
            <w:noProof/>
          </w:rPr>
          <w:t>P</w:t>
        </w:r>
        <w:r w:rsidRPr="00F13D36">
          <w:rPr>
            <w:rStyle w:val="Hyperlink"/>
            <w:i/>
            <w:noProof/>
            <w:vertAlign w:val="subscript"/>
          </w:rPr>
          <w:t>CMAX</w:t>
        </w:r>
        <w:r w:rsidRPr="00F13D36">
          <w:rPr>
            <w:rStyle w:val="Hyperlink"/>
            <w:noProof/>
          </w:rPr>
          <w:t xml:space="preserve"> or </w:t>
        </w:r>
        <w:r w:rsidRPr="00F13D36">
          <w:rPr>
            <w:rStyle w:val="Hyperlink"/>
            <w:i/>
            <w:noProof/>
          </w:rPr>
          <w:t>preambleTransMax</w:t>
        </w:r>
        <w:r w:rsidRPr="00F13D36">
          <w:rPr>
            <w:rStyle w:val="Hyperlink"/>
            <w:noProof/>
          </w:rPr>
          <w:t xml:space="preserve"> are introduced.</w:t>
        </w:r>
      </w:hyperlink>
    </w:p>
    <w:p w14:paraId="56868A6F" w14:textId="77777777"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74" w:history="1">
        <w:r w:rsidRPr="00F13D36">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F13D36">
          <w:rPr>
            <w:rStyle w:val="Hyperlink"/>
            <w:noProof/>
          </w:rPr>
          <w:t>Reset the power ramping counter (Alt. 2) when switching from legacy ROs to additional ROs [for Option 2].</w:t>
        </w:r>
      </w:hyperlink>
    </w:p>
    <w:p w14:paraId="02799720" w14:textId="77777777"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75" w:history="1">
        <w:r w:rsidRPr="00F13D36">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F13D36">
          <w:rPr>
            <w:rStyle w:val="Hyperlink"/>
            <w:noProof/>
          </w:rPr>
          <w:t xml:space="preserve">No separate </w:t>
        </w:r>
        <w:r w:rsidRPr="00F13D36">
          <w:rPr>
            <w:rStyle w:val="Hyperlink"/>
            <w:i/>
            <w:iCs/>
            <w:noProof/>
          </w:rPr>
          <w:t>msg3-DeltaPreamble-SBFD</w:t>
        </w:r>
        <w:r w:rsidRPr="00F13D36">
          <w:rPr>
            <w:rStyle w:val="Hyperlink"/>
            <w:noProof/>
          </w:rPr>
          <w:t xml:space="preserve"> is specified for Msg3 power control.</w:t>
        </w:r>
      </w:hyperlink>
    </w:p>
    <w:p w14:paraId="0DA74F17" w14:textId="77777777"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76" w:history="1">
        <w:r w:rsidRPr="00F13D36">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F13D36">
          <w:rPr>
            <w:rStyle w:val="Hyperlink"/>
            <w:noProof/>
          </w:rPr>
          <w:t xml:space="preserve">A UE may assume the same power ramping step for the additional RACH configuration as for the legacy RACH configuration in determining </w:t>
        </w:r>
        <w:r w:rsidRPr="00F13D36">
          <w:rPr>
            <w:rStyle w:val="Hyperlink"/>
            <w:rFonts w:ascii="Cambria" w:hAnsi="Cambria"/>
            <w:noProof/>
          </w:rPr>
          <w:t>Δ</w:t>
        </w:r>
        <w:r w:rsidRPr="00F13D36">
          <w:rPr>
            <w:rStyle w:val="Hyperlink"/>
            <w:noProof/>
          </w:rPr>
          <w:t>P</w:t>
        </w:r>
        <w:r w:rsidRPr="00F13D36">
          <w:rPr>
            <w:rStyle w:val="Hyperlink"/>
            <w:i/>
            <w:iCs/>
            <w:noProof/>
            <w:vertAlign w:val="subscript"/>
          </w:rPr>
          <w:t>rampup_requested,b,f,c</w:t>
        </w:r>
        <w:r w:rsidRPr="00F13D36">
          <w:rPr>
            <w:rStyle w:val="Hyperlink"/>
            <w:noProof/>
          </w:rPr>
          <w:t xml:space="preserve"> within the same RACH procedure.</w:t>
        </w:r>
      </w:hyperlink>
    </w:p>
    <w:p w14:paraId="6691DC21" w14:textId="77777777"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77" w:history="1">
        <w:r w:rsidRPr="00F13D36">
          <w:rPr>
            <w:rStyle w:val="Hyperlink"/>
            <w:noProof/>
            <w:lang w:eastAsia="ja-JP"/>
          </w:rPr>
          <w:t>Proposal 9</w:t>
        </w:r>
        <w:r>
          <w:rPr>
            <w:rFonts w:asciiTheme="minorHAnsi" w:eastAsiaTheme="minorEastAsia" w:hAnsiTheme="minorHAnsi"/>
            <w:b w:val="0"/>
            <w:noProof/>
            <w:kern w:val="2"/>
            <w:sz w:val="24"/>
            <w:szCs w:val="24"/>
            <w:lang w:val="en-SE" w:eastAsia="en-SE"/>
            <w14:ligatures w14:val="standardContextual"/>
          </w:rPr>
          <w:tab/>
        </w:r>
        <w:r w:rsidRPr="00F13D36">
          <w:rPr>
            <w:rStyle w:val="Hyperlink"/>
            <w:noProof/>
          </w:rPr>
          <w:t xml:space="preserve">Update RRC parameter list to also include the updated interpretation of </w:t>
        </w:r>
        <w:r w:rsidRPr="00F13D36">
          <w:rPr>
            <w:rStyle w:val="Hyperlink"/>
            <w:i/>
            <w:noProof/>
          </w:rPr>
          <w:t>msg1-FrequencyStart</w:t>
        </w:r>
        <w:r w:rsidRPr="00F13D36">
          <w:rPr>
            <w:rStyle w:val="Hyperlink"/>
            <w:noProof/>
          </w:rPr>
          <w:t>, i.e., offset of lowest PRACH transmission occasion in frequency domain with respective to the lowest PRB of the UL usable PRBs.</w:t>
        </w:r>
      </w:hyperlink>
    </w:p>
    <w:p w14:paraId="04B6C65E" w14:textId="77777777"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78" w:history="1">
        <w:r w:rsidRPr="00F13D36">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F13D36">
          <w:rPr>
            <w:rStyle w:val="Hyperlink"/>
            <w:noProof/>
          </w:rPr>
          <w:t xml:space="preserve">Include </w:t>
        </w:r>
        <w:r w:rsidRPr="00F13D36">
          <w:rPr>
            <w:rStyle w:val="Hyperlink"/>
            <w:i/>
            <w:iCs/>
            <w:noProof/>
          </w:rPr>
          <w:t>sbfd-RACHTypeIndication</w:t>
        </w:r>
        <w:r w:rsidRPr="00F13D36">
          <w:rPr>
            <w:rStyle w:val="Hyperlink"/>
            <w:noProof/>
          </w:rPr>
          <w:t xml:space="preserve"> into </w:t>
        </w:r>
        <w:r w:rsidRPr="00F13D36">
          <w:rPr>
            <w:rStyle w:val="Hyperlink"/>
            <w:i/>
            <w:iCs/>
            <w:noProof/>
          </w:rPr>
          <w:t>RACH-ConfigDedicated</w:t>
        </w:r>
        <w:r w:rsidRPr="00F13D36">
          <w:rPr>
            <w:rStyle w:val="Hyperlink"/>
            <w:noProof/>
          </w:rPr>
          <w:t xml:space="preserve"> and </w:t>
        </w:r>
        <w:r w:rsidRPr="00F13D36">
          <w:rPr>
            <w:rStyle w:val="Hyperlink"/>
            <w:i/>
            <w:iCs/>
            <w:noProof/>
          </w:rPr>
          <w:t>BeamFailure- RecoveryConfig</w:t>
        </w:r>
        <w:r w:rsidRPr="00F13D36">
          <w:rPr>
            <w:rStyle w:val="Hyperlink"/>
            <w:noProof/>
          </w:rPr>
          <w:t>.</w:t>
        </w:r>
      </w:hyperlink>
    </w:p>
    <w:p w14:paraId="72E4B898" w14:textId="77777777"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79" w:history="1">
        <w:r w:rsidRPr="00F13D36">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F13D36">
          <w:rPr>
            <w:rStyle w:val="Hyperlink"/>
            <w:noProof/>
          </w:rPr>
          <w:t xml:space="preserve">Include separate </w:t>
        </w:r>
        <w:r w:rsidRPr="00F13D36">
          <w:rPr>
            <w:rStyle w:val="Hyperlink"/>
            <w:i/>
            <w:iCs/>
            <w:noProof/>
          </w:rPr>
          <w:t>msg3-Alpha</w:t>
        </w:r>
        <w:r w:rsidRPr="00F13D36">
          <w:rPr>
            <w:rStyle w:val="Hyperlink"/>
            <w:noProof/>
          </w:rPr>
          <w:t xml:space="preserve"> for SBFD symbols in RRC parameter list.</w:t>
        </w:r>
      </w:hyperlink>
    </w:p>
    <w:p w14:paraId="4B8AA51D" w14:textId="77777777" w:rsidR="009A067F" w:rsidRDefault="009A067F" w:rsidP="009A067F">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7714080" w:history="1">
        <w:r w:rsidRPr="00F13D36">
          <w:rPr>
            <w:rStyle w:val="Hyperlink"/>
            <w:noProof/>
          </w:rPr>
          <w:t>Proposal 12</w:t>
        </w:r>
        <w:r>
          <w:rPr>
            <w:rFonts w:asciiTheme="minorHAnsi" w:eastAsiaTheme="minorEastAsia" w:hAnsiTheme="minorHAnsi"/>
            <w:b w:val="0"/>
            <w:noProof/>
            <w:kern w:val="2"/>
            <w:sz w:val="24"/>
            <w:szCs w:val="24"/>
            <w:lang w:val="en-SE" w:eastAsia="en-SE"/>
            <w14:ligatures w14:val="standardContextual"/>
          </w:rPr>
          <w:tab/>
        </w:r>
        <w:r w:rsidRPr="00F13D36">
          <w:rPr>
            <w:rStyle w:val="Hyperlink"/>
            <w:noProof/>
          </w:rPr>
          <w:t xml:space="preserve">Include separate </w:t>
        </w:r>
        <w:r w:rsidRPr="00F13D36">
          <w:rPr>
            <w:rStyle w:val="Hyperlink"/>
            <w:i/>
            <w:iCs/>
            <w:noProof/>
          </w:rPr>
          <w:t>p0-nominal</w:t>
        </w:r>
        <w:r w:rsidRPr="00F13D36">
          <w:rPr>
            <w:rStyle w:val="Hyperlink"/>
            <w:noProof/>
          </w:rPr>
          <w:t xml:space="preserve"> for SBFD symbols in RRC parameter list.</w:t>
        </w:r>
      </w:hyperlink>
    </w:p>
    <w:p w14:paraId="58ACA235" w14:textId="20ED3A28" w:rsidR="00C01F33" w:rsidRPr="00BD51BB" w:rsidRDefault="006E1C82" w:rsidP="009A067F">
      <w:pPr>
        <w:pStyle w:val="BodyText"/>
      </w:pPr>
      <w:r w:rsidRPr="00BD51BB">
        <w:fldChar w:fldCharType="end"/>
      </w:r>
      <w:r w:rsidRPr="00BD51BB">
        <w:t xml:space="preserve"> </w:t>
      </w:r>
    </w:p>
    <w:p w14:paraId="71D79D99" w14:textId="77777777" w:rsidR="00F507D1" w:rsidRPr="00BD51BB" w:rsidRDefault="00F507D1" w:rsidP="00CE0424">
      <w:pPr>
        <w:pStyle w:val="Heading1"/>
        <w:rPr>
          <w:lang w:val="en-US"/>
        </w:rPr>
      </w:pPr>
      <w:bookmarkStart w:id="48" w:name="_In-sequence_SDU_delivery"/>
      <w:bookmarkEnd w:id="48"/>
      <w:r w:rsidRPr="00BD51BB">
        <w:rPr>
          <w:lang w:val="en-US"/>
        </w:rPr>
        <w:lastRenderedPageBreak/>
        <w:t>References</w:t>
      </w:r>
    </w:p>
    <w:p w14:paraId="77C5E852" w14:textId="60DA31A3" w:rsidR="005F3025" w:rsidRDefault="00746683" w:rsidP="00746683">
      <w:pPr>
        <w:pStyle w:val="Reference"/>
      </w:pPr>
      <w:bookmarkStart w:id="49" w:name="_Ref174095881"/>
      <w:bookmarkStart w:id="50" w:name="_Hlk189840892"/>
      <w:bookmarkStart w:id="51" w:name="_Ref174151459"/>
      <w:bookmarkStart w:id="52" w:name="_Ref189809556"/>
      <w:r w:rsidRPr="00E97B64">
        <w:t>RP-241614, “Revised WID: Evolution of NR duplex operation: Sub-band full duplex (SBFD),” Huawei, RAN #104, June 2024.</w:t>
      </w:r>
      <w:bookmarkEnd w:id="49"/>
      <w:bookmarkEnd w:id="50"/>
    </w:p>
    <w:p w14:paraId="15D5D186" w14:textId="424D4159" w:rsidR="00BC040B" w:rsidRPr="003C1033" w:rsidRDefault="00B27412" w:rsidP="00BC040B">
      <w:pPr>
        <w:pStyle w:val="Reference"/>
      </w:pPr>
      <w:bookmarkStart w:id="53" w:name="_Ref194086571"/>
      <w:r w:rsidRPr="00B27412">
        <w:t>R1-2503201</w:t>
      </w:r>
      <w:r w:rsidR="00BC040B">
        <w:t xml:space="preserve">, </w:t>
      </w:r>
      <w:bookmarkStart w:id="54" w:name="_Hlk193982210"/>
      <w:r w:rsidR="00BC040B">
        <w:t>“</w:t>
      </w:r>
      <w:r w:rsidR="00BC040B" w:rsidRPr="00E97B64">
        <w:t>Report of RAN1#1</w:t>
      </w:r>
      <w:r w:rsidR="00BC040B">
        <w:t>20bis</w:t>
      </w:r>
      <w:r w:rsidR="00BC040B" w:rsidRPr="00E97B64">
        <w:t xml:space="preserve"> meeting,” ETSI MCC, RAN1 #12</w:t>
      </w:r>
      <w:r w:rsidR="00BC040B">
        <w:t>1</w:t>
      </w:r>
      <w:r w:rsidR="00BC040B" w:rsidRPr="00E97B64">
        <w:t xml:space="preserve">, </w:t>
      </w:r>
      <w:r w:rsidR="00BC040B">
        <w:t>May</w:t>
      </w:r>
      <w:r w:rsidR="00BC040B" w:rsidRPr="00E97B64">
        <w:t xml:space="preserve"> 2025.</w:t>
      </w:r>
      <w:bookmarkEnd w:id="53"/>
      <w:bookmarkEnd w:id="54"/>
    </w:p>
    <w:p w14:paraId="6F7FD330" w14:textId="70228036" w:rsidR="00BC040B" w:rsidRPr="00BD51BB" w:rsidRDefault="00EB1C6A" w:rsidP="00EB1C6A">
      <w:pPr>
        <w:pStyle w:val="Reference"/>
      </w:pPr>
      <w:bookmarkStart w:id="55" w:name="_Ref194086653"/>
      <w:r w:rsidRPr="00EB1C6A">
        <w:t>R1-2409341</w:t>
      </w:r>
      <w:r w:rsidR="00B27412">
        <w:t>,</w:t>
      </w:r>
      <w:r w:rsidR="00B27412" w:rsidRPr="000846CB">
        <w:t xml:space="preserve"> </w:t>
      </w:r>
      <w:r w:rsidR="00B27412">
        <w:t>“</w:t>
      </w:r>
      <w:r w:rsidR="00B27412" w:rsidRPr="00E97B64">
        <w:t>Report of RAN1#1</w:t>
      </w:r>
      <w:r w:rsidR="00B27412">
        <w:t>18-bis</w:t>
      </w:r>
      <w:r w:rsidR="00B27412" w:rsidRPr="00E97B64">
        <w:t xml:space="preserve"> meeting,” ETSI MCC, RAN1 #1</w:t>
      </w:r>
      <w:r w:rsidR="00B27412">
        <w:t>19</w:t>
      </w:r>
      <w:r w:rsidR="00B27412" w:rsidRPr="00E97B64">
        <w:t xml:space="preserve">, </w:t>
      </w:r>
      <w:r w:rsidR="00B27412">
        <w:t>November</w:t>
      </w:r>
      <w:r w:rsidR="00B27412" w:rsidRPr="00E97B64">
        <w:t xml:space="preserve"> 202</w:t>
      </w:r>
      <w:r w:rsidR="00B27412">
        <w:t>4</w:t>
      </w:r>
      <w:r w:rsidR="00B27412" w:rsidRPr="00E97B64">
        <w:t>.</w:t>
      </w:r>
      <w:bookmarkEnd w:id="55"/>
    </w:p>
    <w:p w14:paraId="2635BB25" w14:textId="6730A481" w:rsidR="00A94CA0" w:rsidRPr="00BC7D68" w:rsidRDefault="00BC7D68" w:rsidP="00BC7D68">
      <w:pPr>
        <w:pStyle w:val="Reference"/>
      </w:pPr>
      <w:bookmarkStart w:id="56" w:name="_Ref197084182"/>
      <w:r w:rsidRPr="00AE4A6F">
        <w:t>R1-2503213</w:t>
      </w:r>
      <w:r>
        <w:t xml:space="preserve"> (</w:t>
      </w:r>
      <w:r w:rsidRPr="00BD51BB">
        <w:t>R4-2504767</w:t>
      </w:r>
      <w:r>
        <w:t>), “</w:t>
      </w:r>
      <w:r w:rsidRPr="00AE4A6F">
        <w:t>LS on the transient period for SBFD operation</w:t>
      </w:r>
      <w:r>
        <w:t>,”</w:t>
      </w:r>
      <w:r w:rsidRPr="00CE0424">
        <w:t xml:space="preserve"> </w:t>
      </w:r>
      <w:r>
        <w:t>RAN4, Samsung, RAN1 #121</w:t>
      </w:r>
      <w:r w:rsidRPr="00CE0424">
        <w:t xml:space="preserve">, </w:t>
      </w:r>
      <w:r>
        <w:t>May 2025.</w:t>
      </w:r>
      <w:bookmarkEnd w:id="56"/>
    </w:p>
    <w:p w14:paraId="4CFF7604" w14:textId="1DA051FF" w:rsidR="00A94CA0" w:rsidRDefault="00EB1C6A" w:rsidP="00EB1C6A">
      <w:pPr>
        <w:pStyle w:val="Reference"/>
      </w:pPr>
      <w:bookmarkStart w:id="57" w:name="_Hlk189756017"/>
      <w:r w:rsidRPr="00E97B64">
        <w:t>R1-2500003, “Report of RAN1#119 meeting,” ETSI MCC, RAN1 #120, February 2025.</w:t>
      </w:r>
      <w:bookmarkEnd w:id="57"/>
    </w:p>
    <w:p w14:paraId="7E6E87CC" w14:textId="4AAC433E" w:rsidR="005F3025" w:rsidRPr="00BD51BB" w:rsidRDefault="00F265EF" w:rsidP="00B0050E">
      <w:pPr>
        <w:pStyle w:val="Reference"/>
      </w:pPr>
      <w:bookmarkStart w:id="58" w:name="_Ref197087087"/>
      <w:r w:rsidRPr="00F2790C">
        <w:t>R1-2501682</w:t>
      </w:r>
      <w:r>
        <w:t>, “</w:t>
      </w:r>
      <w:r w:rsidRPr="00E97B64">
        <w:t>Report of RAN1#1</w:t>
      </w:r>
      <w:r>
        <w:t>20</w:t>
      </w:r>
      <w:r w:rsidRPr="00E97B64">
        <w:t xml:space="preserve"> meeting,” ETSI MCC, RAN1 #120</w:t>
      </w:r>
      <w:r>
        <w:t>-bis</w:t>
      </w:r>
      <w:r w:rsidRPr="00E97B64">
        <w:t xml:space="preserve">, </w:t>
      </w:r>
      <w:r>
        <w:t>April</w:t>
      </w:r>
      <w:r w:rsidRPr="00E97B64">
        <w:t xml:space="preserve"> 2025.</w:t>
      </w:r>
      <w:bookmarkEnd w:id="58"/>
    </w:p>
    <w:bookmarkEnd w:id="51"/>
    <w:bookmarkEnd w:id="52"/>
    <w:p w14:paraId="715CA09B" w14:textId="77777777" w:rsidR="003A7EF3" w:rsidRPr="00BD51BB" w:rsidRDefault="003A7EF3" w:rsidP="0067726E">
      <w:pPr>
        <w:pStyle w:val="BodyText"/>
      </w:pPr>
    </w:p>
    <w:sectPr w:rsidR="003A7EF3" w:rsidRPr="00BD51BB"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E1042" w14:textId="77777777" w:rsidR="009F2B91" w:rsidRDefault="009F2B91" w:rsidP="0067726E">
      <w:r>
        <w:separator/>
      </w:r>
    </w:p>
  </w:endnote>
  <w:endnote w:type="continuationSeparator" w:id="0">
    <w:p w14:paraId="7337E987" w14:textId="77777777" w:rsidR="009F2B91" w:rsidRDefault="009F2B91" w:rsidP="0067726E">
      <w:r>
        <w:continuationSeparator/>
      </w:r>
    </w:p>
  </w:endnote>
  <w:endnote w:type="continuationNotice" w:id="1">
    <w:p w14:paraId="7848F47A" w14:textId="77777777" w:rsidR="009F2B91" w:rsidRDefault="009F2B91" w:rsidP="00677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AD457" w14:textId="77777777" w:rsidR="009F2B91" w:rsidRDefault="009F2B91" w:rsidP="0067726E">
      <w:r>
        <w:separator/>
      </w:r>
    </w:p>
  </w:footnote>
  <w:footnote w:type="continuationSeparator" w:id="0">
    <w:p w14:paraId="0EBFC793" w14:textId="77777777" w:rsidR="009F2B91" w:rsidRDefault="009F2B91" w:rsidP="0067726E">
      <w:r>
        <w:continuationSeparator/>
      </w:r>
    </w:p>
  </w:footnote>
  <w:footnote w:type="continuationNotice" w:id="1">
    <w:p w14:paraId="41DDBACC" w14:textId="77777777" w:rsidR="009F2B91" w:rsidRDefault="009F2B91" w:rsidP="00677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6772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114265"/>
    <w:multiLevelType w:val="hybridMultilevel"/>
    <w:tmpl w:val="13C26786"/>
    <w:lvl w:ilvl="0" w:tplc="793A11AA">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518A6FA2"/>
    <w:lvl w:ilvl="0" w:tplc="FE0A6D24">
      <w:start w:val="1"/>
      <w:numFmt w:val="decimal"/>
      <w:pStyle w:val="Reference"/>
      <w:lvlText w:val="[%1]"/>
      <w:lvlJc w:val="left"/>
      <w:pPr>
        <w:tabs>
          <w:tab w:val="num" w:pos="567"/>
        </w:tabs>
        <w:ind w:left="567" w:hanging="567"/>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FD68E8"/>
    <w:multiLevelType w:val="hybridMultilevel"/>
    <w:tmpl w:val="54B4D2B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B0A2876"/>
    <w:multiLevelType w:val="hybridMultilevel"/>
    <w:tmpl w:val="388CA71A"/>
    <w:lvl w:ilvl="0" w:tplc="2DDA9270">
      <w:start w:val="150"/>
      <w:numFmt w:val="bullet"/>
      <w:pStyle w:val="ListParagraph"/>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7C3178"/>
    <w:multiLevelType w:val="multilevel"/>
    <w:tmpl w:val="357638B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B3247C"/>
    <w:multiLevelType w:val="hybridMultilevel"/>
    <w:tmpl w:val="C30635AA"/>
    <w:lvl w:ilvl="0" w:tplc="A880AF6E">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19758996">
    <w:abstractNumId w:val="3"/>
  </w:num>
  <w:num w:numId="2" w16cid:durableId="355155966">
    <w:abstractNumId w:val="19"/>
  </w:num>
  <w:num w:numId="3" w16cid:durableId="1913851990">
    <w:abstractNumId w:val="13"/>
  </w:num>
  <w:num w:numId="4" w16cid:durableId="2090736220">
    <w:abstractNumId w:val="15"/>
  </w:num>
  <w:num w:numId="5" w16cid:durableId="674647555">
    <w:abstractNumId w:val="10"/>
  </w:num>
  <w:num w:numId="6" w16cid:durableId="1498110781">
    <w:abstractNumId w:val="18"/>
  </w:num>
  <w:num w:numId="7" w16cid:durableId="1084961623">
    <w:abstractNumId w:val="24"/>
  </w:num>
  <w:num w:numId="8" w16cid:durableId="2086880802">
    <w:abstractNumId w:val="11"/>
  </w:num>
  <w:num w:numId="9" w16cid:durableId="1576015632">
    <w:abstractNumId w:val="8"/>
  </w:num>
  <w:num w:numId="10" w16cid:durableId="2126541449">
    <w:abstractNumId w:val="2"/>
  </w:num>
  <w:num w:numId="11" w16cid:durableId="693337342">
    <w:abstractNumId w:val="1"/>
  </w:num>
  <w:num w:numId="12" w16cid:durableId="1916816155">
    <w:abstractNumId w:val="0"/>
  </w:num>
  <w:num w:numId="13" w16cid:durableId="1591889704">
    <w:abstractNumId w:val="20"/>
  </w:num>
  <w:num w:numId="14" w16cid:durableId="16199632">
    <w:abstractNumId w:val="21"/>
  </w:num>
  <w:num w:numId="15" w16cid:durableId="298389984">
    <w:abstractNumId w:val="16"/>
  </w:num>
  <w:num w:numId="16" w16cid:durableId="1337730544">
    <w:abstractNumId w:val="26"/>
  </w:num>
  <w:num w:numId="17" w16cid:durableId="561411510">
    <w:abstractNumId w:val="6"/>
  </w:num>
  <w:num w:numId="18" w16cid:durableId="1204906343">
    <w:abstractNumId w:val="7"/>
  </w:num>
  <w:num w:numId="19" w16cid:durableId="578713189">
    <w:abstractNumId w:val="4"/>
  </w:num>
  <w:num w:numId="20" w16cid:durableId="1661736935">
    <w:abstractNumId w:val="30"/>
  </w:num>
  <w:num w:numId="21" w16cid:durableId="1200509507">
    <w:abstractNumId w:val="12"/>
  </w:num>
  <w:num w:numId="22" w16cid:durableId="1050613117">
    <w:abstractNumId w:val="29"/>
  </w:num>
  <w:num w:numId="23" w16cid:durableId="305624043">
    <w:abstractNumId w:val="28"/>
  </w:num>
  <w:num w:numId="24" w16cid:durableId="1867131685">
    <w:abstractNumId w:val="23"/>
  </w:num>
  <w:num w:numId="25" w16cid:durableId="866064961">
    <w:abstractNumId w:val="31"/>
  </w:num>
  <w:num w:numId="26" w16cid:durableId="808133086">
    <w:abstractNumId w:val="9"/>
  </w:num>
  <w:num w:numId="27" w16cid:durableId="950746092">
    <w:abstractNumId w:val="27"/>
  </w:num>
  <w:num w:numId="28" w16cid:durableId="1202279870">
    <w:abstractNumId w:val="25"/>
  </w:num>
  <w:num w:numId="29" w16cid:durableId="1191719635">
    <w:abstractNumId w:val="14"/>
  </w:num>
  <w:num w:numId="30" w16cid:durableId="1531995070">
    <w:abstractNumId w:val="22"/>
  </w:num>
  <w:num w:numId="31" w16cid:durableId="1835488530">
    <w:abstractNumId w:val="17"/>
  </w:num>
  <w:num w:numId="32" w16cid:durableId="197460268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6D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018"/>
    <w:rsid w:val="0012377F"/>
    <w:rsid w:val="00124314"/>
    <w:rsid w:val="00126B4A"/>
    <w:rsid w:val="00132FD0"/>
    <w:rsid w:val="001344C0"/>
    <w:rsid w:val="001346FA"/>
    <w:rsid w:val="00135252"/>
    <w:rsid w:val="00137AB5"/>
    <w:rsid w:val="00137F0B"/>
    <w:rsid w:val="001515A2"/>
    <w:rsid w:val="00151E23"/>
    <w:rsid w:val="001526E0"/>
    <w:rsid w:val="00154EE5"/>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4CD9"/>
    <w:rsid w:val="001D51BA"/>
    <w:rsid w:val="001D53E7"/>
    <w:rsid w:val="001D6342"/>
    <w:rsid w:val="001D6D53"/>
    <w:rsid w:val="001E58E2"/>
    <w:rsid w:val="001E7AED"/>
    <w:rsid w:val="001F305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CA3"/>
    <w:rsid w:val="002500C8"/>
    <w:rsid w:val="00250CC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2B6F"/>
    <w:rsid w:val="002A578E"/>
    <w:rsid w:val="002B24D6"/>
    <w:rsid w:val="002C245D"/>
    <w:rsid w:val="002C41E6"/>
    <w:rsid w:val="002D071A"/>
    <w:rsid w:val="002D34B2"/>
    <w:rsid w:val="002D48B0"/>
    <w:rsid w:val="002D5B37"/>
    <w:rsid w:val="002D7637"/>
    <w:rsid w:val="002E17F2"/>
    <w:rsid w:val="002E7CAE"/>
    <w:rsid w:val="002F13E4"/>
    <w:rsid w:val="002F2771"/>
    <w:rsid w:val="002F37A9"/>
    <w:rsid w:val="00301CE6"/>
    <w:rsid w:val="0030256B"/>
    <w:rsid w:val="00303C16"/>
    <w:rsid w:val="0030501F"/>
    <w:rsid w:val="00307BA1"/>
    <w:rsid w:val="00311702"/>
    <w:rsid w:val="00311E82"/>
    <w:rsid w:val="00313FD6"/>
    <w:rsid w:val="003143BD"/>
    <w:rsid w:val="00315363"/>
    <w:rsid w:val="0031618F"/>
    <w:rsid w:val="003203ED"/>
    <w:rsid w:val="00322C9F"/>
    <w:rsid w:val="00324D23"/>
    <w:rsid w:val="00326885"/>
    <w:rsid w:val="00331751"/>
    <w:rsid w:val="00334579"/>
    <w:rsid w:val="00335858"/>
    <w:rsid w:val="00336BDA"/>
    <w:rsid w:val="00342BD7"/>
    <w:rsid w:val="00346DB5"/>
    <w:rsid w:val="003477B1"/>
    <w:rsid w:val="003535FE"/>
    <w:rsid w:val="00357380"/>
    <w:rsid w:val="003602D9"/>
    <w:rsid w:val="003604CE"/>
    <w:rsid w:val="00370E47"/>
    <w:rsid w:val="003742AC"/>
    <w:rsid w:val="003742B2"/>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18D"/>
    <w:rsid w:val="003D2478"/>
    <w:rsid w:val="003D3C45"/>
    <w:rsid w:val="003D4A67"/>
    <w:rsid w:val="003D5B1F"/>
    <w:rsid w:val="003E0E67"/>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53C"/>
    <w:rsid w:val="00437447"/>
    <w:rsid w:val="00441A92"/>
    <w:rsid w:val="0044289D"/>
    <w:rsid w:val="004431DC"/>
    <w:rsid w:val="00444ECC"/>
    <w:rsid w:val="00444F56"/>
    <w:rsid w:val="00445EC1"/>
    <w:rsid w:val="004463A0"/>
    <w:rsid w:val="00446488"/>
    <w:rsid w:val="004517AA"/>
    <w:rsid w:val="00452CAC"/>
    <w:rsid w:val="00457565"/>
    <w:rsid w:val="00457B71"/>
    <w:rsid w:val="004633C3"/>
    <w:rsid w:val="00464689"/>
    <w:rsid w:val="004669E2"/>
    <w:rsid w:val="00470C31"/>
    <w:rsid w:val="0047116E"/>
    <w:rsid w:val="00471DE0"/>
    <w:rsid w:val="004734D0"/>
    <w:rsid w:val="00474E7A"/>
    <w:rsid w:val="0047556B"/>
    <w:rsid w:val="00477768"/>
    <w:rsid w:val="00480353"/>
    <w:rsid w:val="00492BC5"/>
    <w:rsid w:val="004964F1"/>
    <w:rsid w:val="004A16BC"/>
    <w:rsid w:val="004A2B94"/>
    <w:rsid w:val="004B6F6A"/>
    <w:rsid w:val="004B7C0C"/>
    <w:rsid w:val="004C3898"/>
    <w:rsid w:val="004D36B1"/>
    <w:rsid w:val="004D7EBD"/>
    <w:rsid w:val="004E2680"/>
    <w:rsid w:val="004E28F9"/>
    <w:rsid w:val="004E462E"/>
    <w:rsid w:val="004E56DC"/>
    <w:rsid w:val="004E5BEB"/>
    <w:rsid w:val="004E76F4"/>
    <w:rsid w:val="004F0B4E"/>
    <w:rsid w:val="004F0B6C"/>
    <w:rsid w:val="004F2078"/>
    <w:rsid w:val="004F4DA3"/>
    <w:rsid w:val="00506557"/>
    <w:rsid w:val="0050677A"/>
    <w:rsid w:val="00507F8B"/>
    <w:rsid w:val="00510555"/>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17C4"/>
    <w:rsid w:val="005A209A"/>
    <w:rsid w:val="005A662D"/>
    <w:rsid w:val="005B1409"/>
    <w:rsid w:val="005B35D7"/>
    <w:rsid w:val="005B392A"/>
    <w:rsid w:val="005B3AA3"/>
    <w:rsid w:val="005B6F83"/>
    <w:rsid w:val="005C4C6F"/>
    <w:rsid w:val="005C74FB"/>
    <w:rsid w:val="005D0BA1"/>
    <w:rsid w:val="005D1602"/>
    <w:rsid w:val="005E385F"/>
    <w:rsid w:val="005E5B81"/>
    <w:rsid w:val="005F2CB1"/>
    <w:rsid w:val="005F3025"/>
    <w:rsid w:val="005F5911"/>
    <w:rsid w:val="005F618C"/>
    <w:rsid w:val="005F70BD"/>
    <w:rsid w:val="00601F47"/>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37"/>
    <w:rsid w:val="006741F2"/>
    <w:rsid w:val="00674CC3"/>
    <w:rsid w:val="00675C72"/>
    <w:rsid w:val="006771F9"/>
    <w:rsid w:val="0067726E"/>
    <w:rsid w:val="006776D7"/>
    <w:rsid w:val="00681003"/>
    <w:rsid w:val="006817C9"/>
    <w:rsid w:val="00683ECE"/>
    <w:rsid w:val="00695FC2"/>
    <w:rsid w:val="00696949"/>
    <w:rsid w:val="00697052"/>
    <w:rsid w:val="006A3276"/>
    <w:rsid w:val="006A46FB"/>
    <w:rsid w:val="006A5E28"/>
    <w:rsid w:val="006A697B"/>
    <w:rsid w:val="006A7AFF"/>
    <w:rsid w:val="006B1816"/>
    <w:rsid w:val="006B2099"/>
    <w:rsid w:val="006B50CF"/>
    <w:rsid w:val="006C03B8"/>
    <w:rsid w:val="006C5EC9"/>
    <w:rsid w:val="006C6059"/>
    <w:rsid w:val="006C7522"/>
    <w:rsid w:val="006D6F08"/>
    <w:rsid w:val="006E062C"/>
    <w:rsid w:val="006E121C"/>
    <w:rsid w:val="006E13D6"/>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1A9D"/>
    <w:rsid w:val="00712287"/>
    <w:rsid w:val="00712772"/>
    <w:rsid w:val="007148D3"/>
    <w:rsid w:val="00714B4E"/>
    <w:rsid w:val="00715B9A"/>
    <w:rsid w:val="00721B32"/>
    <w:rsid w:val="007257D0"/>
    <w:rsid w:val="00726EA6"/>
    <w:rsid w:val="00727208"/>
    <w:rsid w:val="00727680"/>
    <w:rsid w:val="007348B1"/>
    <w:rsid w:val="007362A6"/>
    <w:rsid w:val="00736D7D"/>
    <w:rsid w:val="00740E58"/>
    <w:rsid w:val="007445A0"/>
    <w:rsid w:val="0074524B"/>
    <w:rsid w:val="00746683"/>
    <w:rsid w:val="00747D8B"/>
    <w:rsid w:val="00751228"/>
    <w:rsid w:val="007571E1"/>
    <w:rsid w:val="007604B2"/>
    <w:rsid w:val="00763ED1"/>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4FE9"/>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2DC"/>
    <w:rsid w:val="00811FCB"/>
    <w:rsid w:val="008158D6"/>
    <w:rsid w:val="00817196"/>
    <w:rsid w:val="008235DB"/>
    <w:rsid w:val="00824AB4"/>
    <w:rsid w:val="00825C42"/>
    <w:rsid w:val="00825D25"/>
    <w:rsid w:val="00827D6F"/>
    <w:rsid w:val="00830F2B"/>
    <w:rsid w:val="008376AC"/>
    <w:rsid w:val="00841994"/>
    <w:rsid w:val="008444E8"/>
    <w:rsid w:val="00844E80"/>
    <w:rsid w:val="00846FE7"/>
    <w:rsid w:val="00851E83"/>
    <w:rsid w:val="00856911"/>
    <w:rsid w:val="008677FD"/>
    <w:rsid w:val="008706D4"/>
    <w:rsid w:val="00870F8A"/>
    <w:rsid w:val="008719A4"/>
    <w:rsid w:val="00871D23"/>
    <w:rsid w:val="00874312"/>
    <w:rsid w:val="0087437C"/>
    <w:rsid w:val="00875CD7"/>
    <w:rsid w:val="00876B4D"/>
    <w:rsid w:val="00877F18"/>
    <w:rsid w:val="008811C7"/>
    <w:rsid w:val="008941E3"/>
    <w:rsid w:val="00894A88"/>
    <w:rsid w:val="00895386"/>
    <w:rsid w:val="00895AFF"/>
    <w:rsid w:val="008A178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0F28"/>
    <w:rsid w:val="008E1909"/>
    <w:rsid w:val="008E1D5A"/>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37AA4"/>
    <w:rsid w:val="00941636"/>
    <w:rsid w:val="00943742"/>
    <w:rsid w:val="009451C8"/>
    <w:rsid w:val="00945C05"/>
    <w:rsid w:val="00946945"/>
    <w:rsid w:val="00947713"/>
    <w:rsid w:val="00950DE7"/>
    <w:rsid w:val="00953920"/>
    <w:rsid w:val="00953D47"/>
    <w:rsid w:val="0095681E"/>
    <w:rsid w:val="009572D4"/>
    <w:rsid w:val="00961921"/>
    <w:rsid w:val="0096430A"/>
    <w:rsid w:val="0096554B"/>
    <w:rsid w:val="0096584A"/>
    <w:rsid w:val="00971F08"/>
    <w:rsid w:val="00975781"/>
    <w:rsid w:val="0097593F"/>
    <w:rsid w:val="0097603D"/>
    <w:rsid w:val="00976949"/>
    <w:rsid w:val="00980477"/>
    <w:rsid w:val="00985253"/>
    <w:rsid w:val="009853B3"/>
    <w:rsid w:val="00985F88"/>
    <w:rsid w:val="00990630"/>
    <w:rsid w:val="00991761"/>
    <w:rsid w:val="00994DCA"/>
    <w:rsid w:val="009960EC"/>
    <w:rsid w:val="009970DD"/>
    <w:rsid w:val="009A067F"/>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29D3"/>
    <w:rsid w:val="009E35DB"/>
    <w:rsid w:val="009E47A3"/>
    <w:rsid w:val="009F08F3"/>
    <w:rsid w:val="009F2B91"/>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55B4"/>
    <w:rsid w:val="00A56054"/>
    <w:rsid w:val="00A611BC"/>
    <w:rsid w:val="00A61499"/>
    <w:rsid w:val="00A62A77"/>
    <w:rsid w:val="00A63483"/>
    <w:rsid w:val="00A657D7"/>
    <w:rsid w:val="00A660AC"/>
    <w:rsid w:val="00A67E6C"/>
    <w:rsid w:val="00A71B99"/>
    <w:rsid w:val="00A739D0"/>
    <w:rsid w:val="00A761D4"/>
    <w:rsid w:val="00A77EC4"/>
    <w:rsid w:val="00A918D0"/>
    <w:rsid w:val="00A92879"/>
    <w:rsid w:val="00A93F0E"/>
    <w:rsid w:val="00A9442A"/>
    <w:rsid w:val="00A94CA0"/>
    <w:rsid w:val="00AA016F"/>
    <w:rsid w:val="00AA1ED6"/>
    <w:rsid w:val="00AA51D6"/>
    <w:rsid w:val="00AB0BC8"/>
    <w:rsid w:val="00AB11CA"/>
    <w:rsid w:val="00AB14D9"/>
    <w:rsid w:val="00AB1827"/>
    <w:rsid w:val="00AB4AB8"/>
    <w:rsid w:val="00AB655E"/>
    <w:rsid w:val="00AB6FA9"/>
    <w:rsid w:val="00AC007F"/>
    <w:rsid w:val="00AC22FB"/>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50E"/>
    <w:rsid w:val="00B006FE"/>
    <w:rsid w:val="00B007CB"/>
    <w:rsid w:val="00B02AA9"/>
    <w:rsid w:val="00B02FA3"/>
    <w:rsid w:val="00B05084"/>
    <w:rsid w:val="00B157F9"/>
    <w:rsid w:val="00B20256"/>
    <w:rsid w:val="00B20D09"/>
    <w:rsid w:val="00B26E42"/>
    <w:rsid w:val="00B27412"/>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8752F"/>
    <w:rsid w:val="00B90F73"/>
    <w:rsid w:val="00B93B59"/>
    <w:rsid w:val="00B9406A"/>
    <w:rsid w:val="00BA2280"/>
    <w:rsid w:val="00BA2A08"/>
    <w:rsid w:val="00BA56D2"/>
    <w:rsid w:val="00BA76E0"/>
    <w:rsid w:val="00BB2A25"/>
    <w:rsid w:val="00BB51E9"/>
    <w:rsid w:val="00BB6DD8"/>
    <w:rsid w:val="00BC040B"/>
    <w:rsid w:val="00BC0FDC"/>
    <w:rsid w:val="00BC3053"/>
    <w:rsid w:val="00BC4D2E"/>
    <w:rsid w:val="00BC7D68"/>
    <w:rsid w:val="00BD48AC"/>
    <w:rsid w:val="00BD51BB"/>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106"/>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185"/>
    <w:rsid w:val="00CB1F63"/>
    <w:rsid w:val="00CB7170"/>
    <w:rsid w:val="00CC040E"/>
    <w:rsid w:val="00CC111F"/>
    <w:rsid w:val="00CC2011"/>
    <w:rsid w:val="00CC2870"/>
    <w:rsid w:val="00CC3EA0"/>
    <w:rsid w:val="00CC7B45"/>
    <w:rsid w:val="00CD1188"/>
    <w:rsid w:val="00CD2ED1"/>
    <w:rsid w:val="00CD337B"/>
    <w:rsid w:val="00CE0424"/>
    <w:rsid w:val="00CE7561"/>
    <w:rsid w:val="00CF1354"/>
    <w:rsid w:val="00CF2B0D"/>
    <w:rsid w:val="00CF3B1F"/>
    <w:rsid w:val="00CF3BF6"/>
    <w:rsid w:val="00CF625B"/>
    <w:rsid w:val="00CF687E"/>
    <w:rsid w:val="00D0349B"/>
    <w:rsid w:val="00D10249"/>
    <w:rsid w:val="00D115C3"/>
    <w:rsid w:val="00D11897"/>
    <w:rsid w:val="00D13135"/>
    <w:rsid w:val="00D13E4E"/>
    <w:rsid w:val="00D239A7"/>
    <w:rsid w:val="00D23F47"/>
    <w:rsid w:val="00D36E71"/>
    <w:rsid w:val="00D372EB"/>
    <w:rsid w:val="00D37D87"/>
    <w:rsid w:val="00D40B33"/>
    <w:rsid w:val="00D4318F"/>
    <w:rsid w:val="00D432BA"/>
    <w:rsid w:val="00D438BF"/>
    <w:rsid w:val="00D440F8"/>
    <w:rsid w:val="00D46FEB"/>
    <w:rsid w:val="00D546FF"/>
    <w:rsid w:val="00D55AD5"/>
    <w:rsid w:val="00D576CA"/>
    <w:rsid w:val="00D61AF5"/>
    <w:rsid w:val="00D652B5"/>
    <w:rsid w:val="00D66155"/>
    <w:rsid w:val="00D672F0"/>
    <w:rsid w:val="00D708B0"/>
    <w:rsid w:val="00D77B1D"/>
    <w:rsid w:val="00D8021F"/>
    <w:rsid w:val="00D80383"/>
    <w:rsid w:val="00D8167E"/>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3AF7"/>
    <w:rsid w:val="00E110E7"/>
    <w:rsid w:val="00E11B20"/>
    <w:rsid w:val="00E17FA2"/>
    <w:rsid w:val="00E20EC4"/>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D0B"/>
    <w:rsid w:val="00E622D8"/>
    <w:rsid w:val="00E63838"/>
    <w:rsid w:val="00E64434"/>
    <w:rsid w:val="00E67C51"/>
    <w:rsid w:val="00E72EFC"/>
    <w:rsid w:val="00E758EC"/>
    <w:rsid w:val="00E75EB7"/>
    <w:rsid w:val="00E8234C"/>
    <w:rsid w:val="00E83AA9"/>
    <w:rsid w:val="00E85928"/>
    <w:rsid w:val="00E87822"/>
    <w:rsid w:val="00E902D6"/>
    <w:rsid w:val="00E90395"/>
    <w:rsid w:val="00E90E49"/>
    <w:rsid w:val="00E917F9"/>
    <w:rsid w:val="00E9291C"/>
    <w:rsid w:val="00E93FFE"/>
    <w:rsid w:val="00E94F8A"/>
    <w:rsid w:val="00EA7A41"/>
    <w:rsid w:val="00EB077B"/>
    <w:rsid w:val="00EB1C6A"/>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1556"/>
    <w:rsid w:val="00F222A4"/>
    <w:rsid w:val="00F2376F"/>
    <w:rsid w:val="00F243D8"/>
    <w:rsid w:val="00F265EF"/>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726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B8752F"/>
    <w:pPr>
      <w:numPr>
        <w:numId w:val="27"/>
      </w:numPr>
      <w:spacing w:after="0"/>
    </w:pPr>
    <w:rPr>
      <w:rFonts w:eastAsia="Calibri" w:cs="Arial"/>
      <w:szCs w:val="20"/>
      <w:lang w:val="x-none"/>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B8752F"/>
    <w:rPr>
      <w:rFonts w:ascii="Arial" w:eastAsia="Calibri" w:hAnsi="Arial" w:cs="Arial"/>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PlaceholderText">
    <w:name w:val="Placeholder Text"/>
    <w:basedOn w:val="DefaultParagraphFont"/>
    <w:uiPriority w:val="99"/>
    <w:semiHidden/>
    <w:rsid w:val="004463A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18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6E2F865-3BFD-49EC-B334-36FF11DC85EA}">
  <ds:schemaRefs>
    <ds:schemaRef ds:uri="http://schemas.openxmlformats.org/officeDocument/2006/bibliography"/>
  </ds:schemaRefs>
</ds:datastoreItem>
</file>

<file path=customXml/itemProps2.xml><?xml version="1.0" encoding="utf-8"?>
<ds:datastoreItem xmlns:ds="http://schemas.openxmlformats.org/officeDocument/2006/customXml" ds:itemID="{A26C1A03-D362-4E3E-91E5-D993B6CED682}"/>
</file>

<file path=customXml/itemProps3.xml><?xml version="1.0" encoding="utf-8"?>
<ds:datastoreItem xmlns:ds="http://schemas.openxmlformats.org/officeDocument/2006/customXml" ds:itemID="{9A951E2B-0C96-4ADF-BFCA-79DBFCA394DD}"/>
</file>

<file path=customXml/itemProps4.xml><?xml version="1.0" encoding="utf-8"?>
<ds:datastoreItem xmlns:ds="http://schemas.openxmlformats.org/officeDocument/2006/customXml" ds:itemID="{DC39FF7F-07CB-43A7-B3AE-C09AE76ACE14}"/>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4083</Words>
  <Characters>23635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2025-05-09T18:15:00Z</dcterms:created>
  <dcterms:modified xsi:type="dcterms:W3CDTF">2025-05-09T18:15:00Z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5NUHHDQN7SK2-1476151046-563421</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TaxKeywordTaxHTField">
    <vt:lpwstr>3GPP|11111111-1111-1111-1111-111111111111;TDoc|af4b50c5-3c78-4293-b1bd-3e717d5b6882;Ericsson|11111111-1111-1111-1111-111111111111</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untryTaxHTField0">
    <vt:lpwstr/>
  </property>
  <property fmtid="{D5CDD505-2E9C-101B-9397-08002B2CF9AE}" pid="18" name="_ExtendedDescription">
    <vt:lpwstr/>
  </property>
  <property fmtid="{D5CDD505-2E9C-101B-9397-08002B2CF9AE}" pid="19" name="TriggerFlowInfo">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https://ericsson.sharepoint.com/sites/star/_layouts/15/DocIdRedir.aspx?ID=5NUHHDQN7SK2-1476151046-563421, 5NUHHDQN7SK2-1476151046-563421</vt:lpwstr>
  </property>
  <property fmtid="{D5CDD505-2E9C-101B-9397-08002B2CF9AE}" pid="23" name="EriCOLLProjects">
    <vt:lpwstr/>
  </property>
  <property fmtid="{D5CDD505-2E9C-101B-9397-08002B2CF9AE}" pid="24" name="xd_Signature">
    <vt:bool>false</vt:bool>
  </property>
  <property fmtid="{D5CDD505-2E9C-101B-9397-08002B2CF9AE}" pid="25" name="EriCOLLProcess">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CompetenceTaxHTField0">
    <vt:lpwstr/>
  </property>
  <property fmtid="{D5CDD505-2E9C-101B-9397-08002B2CF9AE}" pid="30" name="_dlc_DocIdItemGuid">
    <vt:lpwstr>8a55f769-6b59-48e8-aa7c-b6379760fbcd</vt:lpwstr>
  </property>
  <property fmtid="{D5CDD505-2E9C-101B-9397-08002B2CF9AE}" pid="31" name="EriCOLLCustomerTaxHTField0">
    <vt:lpwstr/>
  </property>
</Properties>
</file>